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E2004">
      <w:pPr>
        <w:tabs>
          <w:tab w:val="left" w:pos="7567"/>
        </w:tabs>
        <w:rPr>
          <w:rFonts w:hint="eastAsia" w:ascii="黑体" w:hAnsi="黑体" w:eastAsia="黑体" w:cs="黑体"/>
          <w:b/>
          <w:sz w:val="44"/>
          <w:szCs w:val="44"/>
        </w:rPr>
      </w:pPr>
    </w:p>
    <w:p w14:paraId="2C1EF9BE">
      <w:pPr>
        <w:spacing w:line="360" w:lineRule="auto"/>
        <w:jc w:val="center"/>
        <w:outlineLvl w:val="9"/>
        <w:rPr>
          <w:rFonts w:hint="default" w:ascii="黑体" w:hAnsi="黑体" w:eastAsia="宋体" w:cs="黑体"/>
          <w:b/>
          <w:sz w:val="36"/>
          <w:szCs w:val="36"/>
          <w:lang w:val="en-US" w:eastAsia="zh-CN"/>
        </w:rPr>
      </w:pPr>
      <w:bookmarkStart w:id="0" w:name="OLE_LINK4"/>
      <w:r>
        <w:rPr>
          <w:rFonts w:hint="eastAsia" w:ascii="黑体" w:hAnsi="黑体" w:cs="黑体"/>
          <w:b/>
          <w:sz w:val="36"/>
          <w:szCs w:val="36"/>
        </w:rPr>
        <w:t>河南省地震局黄河流域（河南段）地震灾害风险防治工程——重大工程健康监测和诊断软硬件平台</w:t>
      </w:r>
      <w:bookmarkStart w:id="1" w:name="_Toc26332"/>
      <w:r>
        <w:rPr>
          <w:rFonts w:hint="eastAsia" w:ascii="黑体" w:hAnsi="黑体" w:cs="黑体"/>
          <w:b/>
          <w:sz w:val="36"/>
          <w:szCs w:val="36"/>
        </w:rPr>
        <w:t>建设与集成项目</w:t>
      </w:r>
      <w:bookmarkEnd w:id="0"/>
      <w:bookmarkEnd w:id="1"/>
      <w:r>
        <w:rPr>
          <w:rFonts w:hint="eastAsia" w:ascii="黑体" w:hAnsi="黑体" w:cs="黑体"/>
          <w:b/>
          <w:sz w:val="36"/>
          <w:szCs w:val="36"/>
          <w:lang w:val="en-US" w:eastAsia="zh-CN"/>
        </w:rPr>
        <w:t>采购项目</w:t>
      </w:r>
    </w:p>
    <w:p w14:paraId="63A3050B">
      <w:pPr>
        <w:ind w:firstLine="1831" w:firstLineChars="190"/>
        <w:jc w:val="center"/>
        <w:rPr>
          <w:rFonts w:hint="eastAsia" w:ascii="黑体" w:eastAsia="黑体"/>
          <w:b/>
          <w:sz w:val="96"/>
          <w:szCs w:val="96"/>
        </w:rPr>
      </w:pPr>
    </w:p>
    <w:p w14:paraId="00055EED">
      <w:pPr>
        <w:jc w:val="center"/>
        <w:rPr>
          <w:rFonts w:hint="eastAsia" w:ascii="黑体" w:eastAsia="黑体"/>
          <w:b/>
          <w:sz w:val="30"/>
          <w:szCs w:val="30"/>
        </w:rPr>
      </w:pPr>
    </w:p>
    <w:p w14:paraId="69175B19">
      <w:pPr>
        <w:jc w:val="center"/>
        <w:rPr>
          <w:rFonts w:hint="eastAsia" w:ascii="黑体" w:hAnsi="黑体" w:eastAsia="黑体" w:cs="黑体"/>
          <w:sz w:val="24"/>
          <w:szCs w:val="24"/>
        </w:rPr>
      </w:pPr>
      <w:r>
        <w:rPr>
          <w:rFonts w:hint="eastAsia" w:ascii="黑体" w:eastAsia="黑体"/>
          <w:b/>
          <w:sz w:val="72"/>
          <w:szCs w:val="72"/>
        </w:rPr>
        <w:t>招标文件</w:t>
      </w:r>
    </w:p>
    <w:p w14:paraId="400EC658">
      <w:pPr>
        <w:jc w:val="center"/>
        <w:rPr>
          <w:rFonts w:hint="eastAsia" w:ascii="黑体" w:hAnsi="黑体" w:eastAsia="黑体" w:cs="黑体"/>
          <w:sz w:val="40"/>
          <w:szCs w:val="40"/>
        </w:rPr>
      </w:pPr>
      <w:r>
        <w:rPr>
          <w:rFonts w:hint="eastAsia" w:ascii="黑体" w:hAnsi="黑体" w:eastAsia="黑体" w:cs="黑体"/>
          <w:sz w:val="28"/>
          <w:szCs w:val="28"/>
        </w:rPr>
        <w:t xml:space="preserve">项目编号：豫财招标采购-2025-1026 </w:t>
      </w:r>
      <w:bookmarkStart w:id="2" w:name="OLE_LINK102"/>
      <w:r>
        <w:rPr>
          <w:rFonts w:hint="eastAsia" w:ascii="黑体" w:hAnsi="黑体" w:eastAsia="黑体" w:cs="黑体"/>
          <w:sz w:val="28"/>
          <w:szCs w:val="28"/>
        </w:rPr>
        <w:t xml:space="preserve"> </w:t>
      </w:r>
    </w:p>
    <w:bookmarkEnd w:id="2"/>
    <w:p w14:paraId="11DBF3C4">
      <w:pPr>
        <w:spacing w:line="800" w:lineRule="exact"/>
        <w:jc w:val="center"/>
        <w:rPr>
          <w:rFonts w:hint="eastAsia" w:ascii="黑体" w:hAnsi="黑体" w:eastAsia="黑体" w:cs="黑体"/>
          <w:sz w:val="28"/>
          <w:szCs w:val="28"/>
        </w:rPr>
      </w:pPr>
    </w:p>
    <w:p w14:paraId="3E2358DB">
      <w:pPr>
        <w:spacing w:line="800" w:lineRule="exact"/>
        <w:ind w:firstLine="532" w:firstLineChars="190"/>
        <w:jc w:val="center"/>
        <w:rPr>
          <w:rFonts w:hint="eastAsia" w:ascii="黑体" w:hAnsi="黑体" w:eastAsia="黑体" w:cs="黑体"/>
          <w:sz w:val="28"/>
          <w:szCs w:val="28"/>
        </w:rPr>
      </w:pPr>
    </w:p>
    <w:p w14:paraId="6D149B4E">
      <w:pPr>
        <w:spacing w:line="800" w:lineRule="exact"/>
        <w:ind w:firstLine="532" w:firstLineChars="190"/>
        <w:jc w:val="center"/>
        <w:rPr>
          <w:rFonts w:hint="eastAsia" w:ascii="黑体" w:hAnsi="黑体" w:eastAsia="黑体" w:cs="黑体"/>
          <w:sz w:val="28"/>
          <w:szCs w:val="28"/>
        </w:rPr>
      </w:pPr>
    </w:p>
    <w:p w14:paraId="4A96DFB2">
      <w:pPr>
        <w:spacing w:line="800" w:lineRule="exact"/>
        <w:jc w:val="center"/>
        <w:rPr>
          <w:rFonts w:hint="eastAsia" w:ascii="黑体" w:hAnsi="黑体" w:eastAsia="黑体" w:cs="黑体"/>
          <w:sz w:val="28"/>
          <w:szCs w:val="28"/>
        </w:rPr>
      </w:pPr>
    </w:p>
    <w:p w14:paraId="191079EC">
      <w:pPr>
        <w:pStyle w:val="21"/>
        <w:rPr>
          <w:rFonts w:hint="eastAsia" w:ascii="黑体" w:hAnsi="黑体" w:eastAsia="黑体" w:cs="黑体"/>
          <w:sz w:val="28"/>
          <w:szCs w:val="28"/>
        </w:rPr>
      </w:pPr>
    </w:p>
    <w:p w14:paraId="28220670">
      <w:pPr>
        <w:pStyle w:val="2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071"/>
      </w:tblGrid>
      <w:tr w14:paraId="6418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3C5DB6E7">
            <w:pPr>
              <w:spacing w:line="800" w:lineRule="exact"/>
              <w:jc w:val="distribute"/>
              <w:rPr>
                <w:rFonts w:hint="eastAsia" w:ascii="黑体" w:hAnsi="黑体" w:eastAsia="黑体" w:cs="黑体"/>
                <w:b/>
                <w:kern w:val="0"/>
                <w:sz w:val="32"/>
                <w:szCs w:val="32"/>
              </w:rPr>
            </w:pPr>
            <w:r>
              <w:rPr>
                <w:rFonts w:hint="eastAsia" w:ascii="黑体" w:hAnsi="黑体" w:eastAsia="黑体" w:cs="黑体"/>
                <w:b/>
                <w:sz w:val="32"/>
                <w:szCs w:val="32"/>
              </w:rPr>
              <w:t>采购人：</w:t>
            </w:r>
          </w:p>
        </w:tc>
        <w:tc>
          <w:tcPr>
            <w:tcW w:w="4071" w:type="dxa"/>
            <w:tcBorders>
              <w:top w:val="single" w:color="FFFFFF" w:sz="4" w:space="0"/>
              <w:left w:val="single" w:color="FFFFFF" w:sz="4" w:space="0"/>
              <w:bottom w:val="single" w:color="FFFFFF" w:sz="4" w:space="0"/>
              <w:right w:val="single" w:color="FFFFFF" w:sz="4" w:space="0"/>
            </w:tcBorders>
          </w:tcPr>
          <w:p w14:paraId="723E88F1">
            <w:pPr>
              <w:spacing w:line="800" w:lineRule="exact"/>
              <w:jc w:val="distribute"/>
              <w:rPr>
                <w:rFonts w:hint="eastAsia" w:ascii="黑体" w:hAnsi="黑体" w:eastAsia="黑体" w:cs="黑体"/>
                <w:b/>
                <w:kern w:val="0"/>
                <w:sz w:val="32"/>
                <w:szCs w:val="32"/>
              </w:rPr>
            </w:pPr>
            <w:r>
              <w:rPr>
                <w:rFonts w:hint="eastAsia" w:ascii="黑体" w:hAnsi="黑体" w:eastAsia="黑体" w:cs="黑体"/>
                <w:b/>
                <w:kern w:val="0"/>
                <w:sz w:val="32"/>
                <w:szCs w:val="32"/>
              </w:rPr>
              <w:t>河南省地震局</w:t>
            </w:r>
          </w:p>
        </w:tc>
      </w:tr>
      <w:tr w14:paraId="5DC4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1A3DA0F8">
            <w:pPr>
              <w:spacing w:line="800" w:lineRule="exact"/>
              <w:jc w:val="distribute"/>
              <w:rPr>
                <w:rFonts w:hint="eastAsia" w:ascii="黑体" w:hAnsi="黑体" w:eastAsia="黑体" w:cs="黑体"/>
                <w:b/>
                <w:sz w:val="32"/>
                <w:szCs w:val="32"/>
              </w:rPr>
            </w:pPr>
            <w:r>
              <w:rPr>
                <w:rFonts w:hint="eastAsia" w:ascii="黑体" w:hAnsi="黑体" w:eastAsia="黑体" w:cs="黑体"/>
                <w:b/>
                <w:sz w:val="32"/>
                <w:szCs w:val="32"/>
              </w:rPr>
              <w:t>采购代理机构：</w:t>
            </w:r>
          </w:p>
        </w:tc>
        <w:tc>
          <w:tcPr>
            <w:tcW w:w="4071" w:type="dxa"/>
            <w:tcBorders>
              <w:top w:val="single" w:color="FFFFFF" w:sz="4" w:space="0"/>
              <w:left w:val="single" w:color="FFFFFF" w:sz="4" w:space="0"/>
              <w:bottom w:val="single" w:color="FFFFFF" w:sz="4" w:space="0"/>
              <w:right w:val="single" w:color="FFFFFF" w:sz="4" w:space="0"/>
            </w:tcBorders>
          </w:tcPr>
          <w:p w14:paraId="49550596">
            <w:pPr>
              <w:spacing w:line="800" w:lineRule="exact"/>
              <w:jc w:val="distribute"/>
              <w:rPr>
                <w:rFonts w:hint="eastAsia" w:ascii="黑体" w:hAnsi="黑体" w:eastAsia="黑体" w:cs="黑体"/>
                <w:b/>
                <w:sz w:val="32"/>
                <w:szCs w:val="32"/>
              </w:rPr>
            </w:pPr>
            <w:r>
              <w:rPr>
                <w:rFonts w:hint="eastAsia" w:ascii="黑体" w:hAnsi="黑体" w:eastAsia="黑体" w:cs="黑体"/>
                <w:b/>
                <w:sz w:val="32"/>
                <w:szCs w:val="32"/>
              </w:rPr>
              <w:t>中金泰富工程管理有限公司</w:t>
            </w:r>
          </w:p>
        </w:tc>
      </w:tr>
      <w:tr w14:paraId="2137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4A20B0CF">
            <w:pPr>
              <w:spacing w:line="800" w:lineRule="exact"/>
              <w:jc w:val="distribute"/>
              <w:rPr>
                <w:rFonts w:hint="eastAsia" w:ascii="黑体" w:hAnsi="黑体" w:eastAsia="黑体" w:cs="黑体"/>
                <w:b/>
                <w:sz w:val="32"/>
                <w:szCs w:val="32"/>
              </w:rPr>
            </w:pPr>
            <w:r>
              <w:rPr>
                <w:rFonts w:hint="eastAsia" w:ascii="黑体" w:hAnsi="黑体" w:eastAsia="黑体" w:cs="黑体"/>
                <w:b/>
                <w:sz w:val="32"/>
                <w:szCs w:val="32"/>
              </w:rPr>
              <w:t>日期：</w:t>
            </w:r>
          </w:p>
        </w:tc>
        <w:tc>
          <w:tcPr>
            <w:tcW w:w="4071" w:type="dxa"/>
            <w:tcBorders>
              <w:top w:val="single" w:color="FFFFFF" w:sz="4" w:space="0"/>
              <w:left w:val="single" w:color="FFFFFF" w:sz="4" w:space="0"/>
              <w:bottom w:val="single" w:color="FFFFFF" w:sz="4" w:space="0"/>
              <w:right w:val="single" w:color="FFFFFF" w:sz="4" w:space="0"/>
            </w:tcBorders>
          </w:tcPr>
          <w:p w14:paraId="632BC525">
            <w:pPr>
              <w:spacing w:line="800" w:lineRule="exact"/>
              <w:jc w:val="distribute"/>
              <w:rPr>
                <w:rFonts w:hint="eastAsia" w:ascii="黑体" w:hAnsi="黑体" w:eastAsia="黑体" w:cs="黑体"/>
                <w:b/>
                <w:sz w:val="32"/>
                <w:szCs w:val="32"/>
              </w:rPr>
            </w:pPr>
            <w:r>
              <w:rPr>
                <w:rFonts w:hint="eastAsia" w:ascii="黑体" w:hAnsi="黑体" w:eastAsia="黑体" w:cs="黑体"/>
                <w:b/>
                <w:sz w:val="32"/>
                <w:szCs w:val="32"/>
              </w:rPr>
              <w:t>二〇二五年八月</w:t>
            </w:r>
          </w:p>
        </w:tc>
      </w:tr>
    </w:tbl>
    <w:p w14:paraId="593BE428">
      <w:pPr>
        <w:spacing w:line="800" w:lineRule="exact"/>
        <w:jc w:val="center"/>
        <w:rPr>
          <w:rFonts w:hint="eastAsia"/>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304" w:right="1797" w:bottom="1304" w:left="1797" w:header="850" w:footer="720" w:gutter="0"/>
          <w:cols w:space="720" w:num="1"/>
          <w:titlePg/>
        </w:sectPr>
      </w:pPr>
      <w:bookmarkStart w:id="3" w:name="_Toc22804073"/>
      <w:bookmarkEnd w:id="3"/>
      <w:bookmarkStart w:id="4" w:name="_Toc22953395"/>
      <w:bookmarkEnd w:id="4"/>
    </w:p>
    <w:sdt>
      <w:sdtPr>
        <w:id w:val="147473909"/>
        <w15:color w:val="DBDBDB"/>
        <w:docPartObj>
          <w:docPartGallery w:val="Table of Contents"/>
          <w:docPartUnique/>
        </w:docPartObj>
      </w:sdtPr>
      <w:sdtContent>
        <w:p w14:paraId="69ACBC07">
          <w:pPr>
            <w:jc w:val="center"/>
            <w:rPr>
              <w:rFonts w:hint="eastAsia"/>
            </w:rPr>
          </w:pPr>
          <w:r>
            <w:t>目录</w:t>
          </w:r>
        </w:p>
        <w:p w14:paraId="22B64F28">
          <w:pPr>
            <w:pStyle w:val="28"/>
            <w:tabs>
              <w:tab w:val="right" w:leader="dot" w:pos="9072"/>
            </w:tabs>
            <w:spacing w:line="360" w:lineRule="auto"/>
          </w:pPr>
          <w:r>
            <w:fldChar w:fldCharType="begin"/>
          </w:r>
          <w:r>
            <w:instrText xml:space="preserve">TOC \o "1-1" \h \u </w:instrText>
          </w:r>
          <w:r>
            <w:fldChar w:fldCharType="separate"/>
          </w:r>
          <w:r>
            <w:fldChar w:fldCharType="begin"/>
          </w:r>
          <w:r>
            <w:instrText xml:space="preserve"> HYPERLINK \l "_Toc5402" </w:instrText>
          </w:r>
          <w:r>
            <w:fldChar w:fldCharType="separate"/>
          </w:r>
          <w:r>
            <w:rPr>
              <w:rFonts w:hint="eastAsia" w:ascii="宋体" w:hAnsi="宋体"/>
              <w:szCs w:val="32"/>
            </w:rPr>
            <w:t>第一章 投标邀请</w:t>
          </w:r>
          <w:r>
            <w:tab/>
          </w:r>
          <w:r>
            <w:fldChar w:fldCharType="begin"/>
          </w:r>
          <w:r>
            <w:instrText xml:space="preserve"> PAGEREF _Toc5402 \h </w:instrText>
          </w:r>
          <w:r>
            <w:fldChar w:fldCharType="separate"/>
          </w:r>
          <w:r>
            <w:t>2</w:t>
          </w:r>
          <w:r>
            <w:fldChar w:fldCharType="end"/>
          </w:r>
          <w:r>
            <w:fldChar w:fldCharType="end"/>
          </w:r>
        </w:p>
        <w:p w14:paraId="4707799D">
          <w:pPr>
            <w:pStyle w:val="28"/>
            <w:tabs>
              <w:tab w:val="right" w:leader="dot" w:pos="9072"/>
            </w:tabs>
            <w:spacing w:line="360" w:lineRule="auto"/>
          </w:pPr>
          <w:r>
            <w:fldChar w:fldCharType="begin"/>
          </w:r>
          <w:r>
            <w:instrText xml:space="preserve"> HYPERLINK \l "_Toc3567" </w:instrText>
          </w:r>
          <w:r>
            <w:fldChar w:fldCharType="separate"/>
          </w:r>
          <w:r>
            <w:rPr>
              <w:rFonts w:hint="eastAsia" w:ascii="宋体" w:hAnsi="宋体"/>
            </w:rPr>
            <w:t>第二章 投标人须知</w:t>
          </w:r>
          <w:r>
            <w:tab/>
          </w:r>
          <w:r>
            <w:fldChar w:fldCharType="begin"/>
          </w:r>
          <w:r>
            <w:instrText xml:space="preserve"> PAGEREF _Toc3567 \h </w:instrText>
          </w:r>
          <w:r>
            <w:fldChar w:fldCharType="separate"/>
          </w:r>
          <w:r>
            <w:t>6</w:t>
          </w:r>
          <w:r>
            <w:fldChar w:fldCharType="end"/>
          </w:r>
          <w:r>
            <w:fldChar w:fldCharType="end"/>
          </w:r>
        </w:p>
        <w:p w14:paraId="04D14BD6">
          <w:pPr>
            <w:pStyle w:val="28"/>
            <w:tabs>
              <w:tab w:val="right" w:leader="dot" w:pos="9072"/>
            </w:tabs>
            <w:spacing w:line="360" w:lineRule="auto"/>
          </w:pPr>
          <w:r>
            <w:fldChar w:fldCharType="begin"/>
          </w:r>
          <w:r>
            <w:instrText xml:space="preserve"> HYPERLINK \l "_Toc30874" </w:instrText>
          </w:r>
          <w:r>
            <w:fldChar w:fldCharType="separate"/>
          </w:r>
          <w:r>
            <w:rPr>
              <w:rFonts w:hint="eastAsia" w:ascii="宋体" w:hAnsi="宋体"/>
              <w:szCs w:val="22"/>
            </w:rPr>
            <w:t>第三章 资格审查</w:t>
          </w:r>
          <w:r>
            <w:tab/>
          </w:r>
          <w:r>
            <w:fldChar w:fldCharType="begin"/>
          </w:r>
          <w:r>
            <w:instrText xml:space="preserve"> PAGEREF _Toc30874 \h </w:instrText>
          </w:r>
          <w:r>
            <w:fldChar w:fldCharType="separate"/>
          </w:r>
          <w:r>
            <w:t>24</w:t>
          </w:r>
          <w:r>
            <w:fldChar w:fldCharType="end"/>
          </w:r>
          <w:r>
            <w:fldChar w:fldCharType="end"/>
          </w:r>
        </w:p>
        <w:p w14:paraId="6C571560">
          <w:pPr>
            <w:pStyle w:val="28"/>
            <w:tabs>
              <w:tab w:val="right" w:leader="dot" w:pos="9072"/>
            </w:tabs>
            <w:spacing w:line="360" w:lineRule="auto"/>
          </w:pPr>
          <w:r>
            <w:fldChar w:fldCharType="begin"/>
          </w:r>
          <w:r>
            <w:instrText xml:space="preserve"> HYPERLINK \l "_Toc10875" </w:instrText>
          </w:r>
          <w:r>
            <w:fldChar w:fldCharType="separate"/>
          </w:r>
          <w:r>
            <w:rPr>
              <w:rFonts w:hint="eastAsia" w:ascii="宋体" w:hAnsi="宋体"/>
              <w:szCs w:val="32"/>
            </w:rPr>
            <w:t>第四章 评标办法（综合评分法）</w:t>
          </w:r>
          <w:r>
            <w:tab/>
          </w:r>
          <w:r>
            <w:fldChar w:fldCharType="begin"/>
          </w:r>
          <w:r>
            <w:instrText xml:space="preserve"> PAGEREF _Toc10875 \h </w:instrText>
          </w:r>
          <w:r>
            <w:fldChar w:fldCharType="separate"/>
          </w:r>
          <w:r>
            <w:t>25</w:t>
          </w:r>
          <w:r>
            <w:fldChar w:fldCharType="end"/>
          </w:r>
          <w:r>
            <w:fldChar w:fldCharType="end"/>
          </w:r>
        </w:p>
        <w:p w14:paraId="63DBEC66">
          <w:pPr>
            <w:pStyle w:val="28"/>
            <w:tabs>
              <w:tab w:val="right" w:leader="dot" w:pos="9072"/>
            </w:tabs>
            <w:spacing w:line="360" w:lineRule="auto"/>
          </w:pPr>
          <w:r>
            <w:fldChar w:fldCharType="begin"/>
          </w:r>
          <w:r>
            <w:instrText xml:space="preserve"> HYPERLINK \l "_Toc621" </w:instrText>
          </w:r>
          <w:r>
            <w:fldChar w:fldCharType="separate"/>
          </w:r>
          <w:r>
            <w:rPr>
              <w:rFonts w:hint="eastAsia" w:ascii="宋体" w:hAnsi="宋体"/>
              <w:szCs w:val="32"/>
            </w:rPr>
            <w:t>第五章 合同</w:t>
          </w:r>
          <w:r>
            <w:tab/>
          </w:r>
          <w:r>
            <w:fldChar w:fldCharType="begin"/>
          </w:r>
          <w:r>
            <w:instrText xml:space="preserve"> PAGEREF _Toc621 \h </w:instrText>
          </w:r>
          <w:r>
            <w:fldChar w:fldCharType="separate"/>
          </w:r>
          <w:r>
            <w:t>32</w:t>
          </w:r>
          <w:r>
            <w:fldChar w:fldCharType="end"/>
          </w:r>
          <w:r>
            <w:fldChar w:fldCharType="end"/>
          </w:r>
        </w:p>
        <w:p w14:paraId="0708EDE2">
          <w:pPr>
            <w:pStyle w:val="28"/>
            <w:tabs>
              <w:tab w:val="right" w:leader="dot" w:pos="9072"/>
            </w:tabs>
            <w:spacing w:line="360" w:lineRule="auto"/>
          </w:pPr>
          <w:r>
            <w:fldChar w:fldCharType="begin"/>
          </w:r>
          <w:r>
            <w:instrText xml:space="preserve"> HYPERLINK \l "_Toc23883" </w:instrText>
          </w:r>
          <w:r>
            <w:fldChar w:fldCharType="separate"/>
          </w:r>
          <w:r>
            <w:rPr>
              <w:rFonts w:hint="eastAsia" w:ascii="宋体" w:hAnsi="宋体"/>
              <w:szCs w:val="32"/>
            </w:rPr>
            <w:t>第六章 采购需求</w:t>
          </w:r>
          <w:r>
            <w:tab/>
          </w:r>
          <w:r>
            <w:fldChar w:fldCharType="begin"/>
          </w:r>
          <w:r>
            <w:instrText xml:space="preserve"> PAGEREF _Toc23883 \h </w:instrText>
          </w:r>
          <w:r>
            <w:fldChar w:fldCharType="separate"/>
          </w:r>
          <w:r>
            <w:t>37</w:t>
          </w:r>
          <w:r>
            <w:fldChar w:fldCharType="end"/>
          </w:r>
          <w:r>
            <w:fldChar w:fldCharType="end"/>
          </w:r>
        </w:p>
        <w:p w14:paraId="7C9AAEFF">
          <w:pPr>
            <w:pStyle w:val="28"/>
            <w:tabs>
              <w:tab w:val="right" w:leader="dot" w:pos="9072"/>
            </w:tabs>
            <w:spacing w:line="360" w:lineRule="auto"/>
          </w:pPr>
          <w:r>
            <w:fldChar w:fldCharType="begin"/>
          </w:r>
          <w:r>
            <w:instrText xml:space="preserve"> HYPERLINK \l "_Toc25158" </w:instrText>
          </w:r>
          <w:r>
            <w:fldChar w:fldCharType="separate"/>
          </w:r>
          <w:r>
            <w:rPr>
              <w:rFonts w:hint="eastAsia" w:ascii="宋体" w:hAnsi="宋体"/>
              <w:szCs w:val="32"/>
            </w:rPr>
            <w:t>第七章 投标文件资格审查文件册通用格式</w:t>
          </w:r>
          <w:r>
            <w:tab/>
          </w:r>
          <w:r>
            <w:fldChar w:fldCharType="begin"/>
          </w:r>
          <w:r>
            <w:instrText xml:space="preserve"> PAGEREF _Toc25158 \h </w:instrText>
          </w:r>
          <w:r>
            <w:fldChar w:fldCharType="separate"/>
          </w:r>
          <w:r>
            <w:t>49</w:t>
          </w:r>
          <w:r>
            <w:fldChar w:fldCharType="end"/>
          </w:r>
          <w:r>
            <w:fldChar w:fldCharType="end"/>
          </w:r>
        </w:p>
        <w:p w14:paraId="553859CE">
          <w:pPr>
            <w:pStyle w:val="28"/>
            <w:tabs>
              <w:tab w:val="right" w:leader="dot" w:pos="9072"/>
            </w:tabs>
            <w:spacing w:line="360" w:lineRule="auto"/>
          </w:pPr>
          <w:r>
            <w:fldChar w:fldCharType="begin"/>
          </w:r>
          <w:r>
            <w:instrText xml:space="preserve"> HYPERLINK \l "_Toc6534" </w:instrText>
          </w:r>
          <w:r>
            <w:fldChar w:fldCharType="separate"/>
          </w:r>
          <w:r>
            <w:rPr>
              <w:rFonts w:hint="eastAsia" w:ascii="宋体" w:hAnsi="宋体"/>
              <w:szCs w:val="32"/>
            </w:rPr>
            <w:t>第八章 投标文件通用格式</w:t>
          </w:r>
          <w:r>
            <w:tab/>
          </w:r>
          <w:r>
            <w:fldChar w:fldCharType="begin"/>
          </w:r>
          <w:r>
            <w:instrText xml:space="preserve"> PAGEREF _Toc6534 \h </w:instrText>
          </w:r>
          <w:r>
            <w:fldChar w:fldCharType="separate"/>
          </w:r>
          <w:r>
            <w:t>54</w:t>
          </w:r>
          <w:r>
            <w:fldChar w:fldCharType="end"/>
          </w:r>
          <w:r>
            <w:fldChar w:fldCharType="end"/>
          </w:r>
        </w:p>
        <w:p w14:paraId="6DDA26B3">
          <w:pPr>
            <w:spacing w:line="360" w:lineRule="auto"/>
            <w:rPr>
              <w:rFonts w:hint="eastAsia"/>
            </w:rPr>
          </w:pPr>
          <w:r>
            <w:fldChar w:fldCharType="end"/>
          </w:r>
        </w:p>
      </w:sdtContent>
    </w:sdt>
    <w:p w14:paraId="650B8C53">
      <w:pPr>
        <w:spacing w:line="360" w:lineRule="auto"/>
        <w:jc w:val="right"/>
        <w:rPr>
          <w:rFonts w:hint="eastAsia"/>
          <w:bCs/>
          <w:szCs w:val="21"/>
        </w:rPr>
      </w:pPr>
    </w:p>
    <w:p w14:paraId="07132A31">
      <w:pPr>
        <w:pStyle w:val="2"/>
        <w:rPr>
          <w:rFonts w:hint="eastAsia" w:ascii="宋体" w:hAnsi="宋体"/>
          <w:sz w:val="21"/>
          <w:szCs w:val="21"/>
        </w:rPr>
        <w:sectPr>
          <w:headerReference r:id="rId9" w:type="default"/>
          <w:footerReference r:id="rId10" w:type="default"/>
          <w:pgSz w:w="11906" w:h="16838"/>
          <w:pgMar w:top="1417" w:right="1417" w:bottom="1417" w:left="1417" w:header="777" w:footer="641" w:gutter="0"/>
          <w:pgNumType w:start="1"/>
          <w:cols w:space="720" w:num="1"/>
          <w:docGrid w:linePitch="1" w:charSpace="0"/>
        </w:sectPr>
      </w:pPr>
      <w:bookmarkStart w:id="5" w:name="_Toc10455"/>
      <w:bookmarkStart w:id="6" w:name="_Toc19014"/>
    </w:p>
    <w:p w14:paraId="05464BB5">
      <w:pPr>
        <w:pStyle w:val="2"/>
        <w:rPr>
          <w:rFonts w:hint="eastAsia" w:ascii="宋体" w:hAnsi="宋体"/>
          <w:szCs w:val="32"/>
        </w:rPr>
      </w:pPr>
      <w:bookmarkStart w:id="7" w:name="_Toc5402"/>
      <w:r>
        <w:rPr>
          <w:rFonts w:hint="eastAsia" w:ascii="宋体" w:hAnsi="宋体"/>
          <w:szCs w:val="32"/>
        </w:rPr>
        <w:t>第一章 投标邀请</w:t>
      </w:r>
      <w:bookmarkEnd w:id="5"/>
      <w:bookmarkEnd w:id="6"/>
      <w:bookmarkEnd w:id="7"/>
    </w:p>
    <w:p w14:paraId="74D3112E">
      <w:pPr>
        <w:widowControl/>
        <w:adjustRightInd w:val="0"/>
        <w:snapToGrid w:val="0"/>
        <w:spacing w:line="360" w:lineRule="auto"/>
        <w:jc w:val="center"/>
        <w:rPr>
          <w:rFonts w:hint="eastAsia" w:ascii="黑体" w:hAnsi="黑体" w:eastAsia="黑体"/>
          <w:bCs/>
          <w:kern w:val="0"/>
          <w:sz w:val="28"/>
          <w:szCs w:val="28"/>
        </w:rPr>
      </w:pPr>
      <w:bookmarkStart w:id="8" w:name="_Toc312133603"/>
      <w:r>
        <w:rPr>
          <w:rFonts w:hint="eastAsia" w:ascii="黑体" w:hAnsi="黑体" w:eastAsia="黑体"/>
          <w:bCs/>
          <w:kern w:val="0"/>
          <w:sz w:val="28"/>
          <w:szCs w:val="28"/>
        </w:rPr>
        <w:t>河南省地震局黄河流域（河南段）地震灾害风险防治工程——重大工程健康监测和诊断软硬件平台建设与集成项目采购项目-公开招标公告</w:t>
      </w:r>
    </w:p>
    <w:p w14:paraId="6046F4EA">
      <w:pPr>
        <w:pStyle w:val="3"/>
        <w:keepNext w:val="0"/>
        <w:keepLines w:val="0"/>
        <w:widowControl/>
        <w:rPr>
          <w:rFonts w:hint="eastAsia" w:ascii="宋体" w:hAnsi="宋体"/>
          <w:bCs/>
          <w:sz w:val="21"/>
          <w:szCs w:val="21"/>
          <w:shd w:val="clear" w:color="auto" w:fill="FFFFFF"/>
        </w:rPr>
      </w:pPr>
      <w:bookmarkStart w:id="9" w:name="_Toc14730"/>
      <w:bookmarkStart w:id="10" w:name="_Toc32225"/>
      <w:bookmarkStart w:id="11" w:name="_Toc8229"/>
      <w:r>
        <w:rPr>
          <w:rFonts w:hint="eastAsia" w:ascii="宋体" w:hAnsi="宋体"/>
          <w:bCs/>
          <w:sz w:val="21"/>
          <w:szCs w:val="21"/>
          <w:shd w:val="clear" w:color="auto" w:fill="FFFFFF"/>
        </w:rPr>
        <w:t>项目概况</w:t>
      </w:r>
      <w:bookmarkEnd w:id="9"/>
      <w:bookmarkEnd w:id="10"/>
      <w:bookmarkEnd w:id="11"/>
    </w:p>
    <w:p w14:paraId="1D2EA1BB">
      <w:pPr>
        <w:widowControl/>
        <w:tabs>
          <w:tab w:val="left" w:pos="840"/>
        </w:tabs>
        <w:spacing w:line="360" w:lineRule="auto"/>
        <w:ind w:firstLine="420" w:firstLineChars="200"/>
        <w:rPr>
          <w:rFonts w:hint="eastAsia"/>
          <w:szCs w:val="21"/>
          <w:shd w:val="clear" w:color="auto" w:fill="FFFFFF"/>
        </w:rPr>
      </w:pPr>
      <w:r>
        <w:rPr>
          <w:rFonts w:hint="eastAsia"/>
          <w:szCs w:val="21"/>
          <w:u w:val="single"/>
          <w:shd w:val="clear" w:color="auto" w:fill="FFFFFF"/>
          <w:lang w:eastAsia="zh-CN"/>
        </w:rPr>
        <w:t>河南省地震局黄河流域（河南段）地震灾害风险防治工程——重大工程健康监测和诊断软硬件平台建设与集成项目采购项目</w:t>
      </w:r>
      <w:r>
        <w:rPr>
          <w:rFonts w:hint="eastAsia"/>
          <w:szCs w:val="21"/>
          <w:shd w:val="clear" w:color="auto" w:fill="FFFFFF"/>
        </w:rPr>
        <w:t>的潜在投标人应在</w:t>
      </w:r>
      <w:bookmarkStart w:id="12" w:name="OLE_LINK1"/>
      <w:r>
        <w:rPr>
          <w:rFonts w:hint="eastAsia"/>
          <w:szCs w:val="21"/>
          <w:u w:val="single"/>
          <w:shd w:val="clear" w:color="auto" w:fill="FFFFFF"/>
        </w:rPr>
        <w:t>登录《河南省公共资源交易中心》网站（http://hnsggzyjy.henan.gov.cn/）</w:t>
      </w:r>
      <w:bookmarkEnd w:id="12"/>
      <w:r>
        <w:rPr>
          <w:rFonts w:hint="eastAsia"/>
          <w:szCs w:val="21"/>
          <w:shd w:val="clear" w:color="auto" w:fill="FFFFFF"/>
        </w:rPr>
        <w:t>网站获取招标文件，并于2025</w:t>
      </w:r>
      <w:r>
        <w:rPr>
          <w:rFonts w:hint="eastAsia"/>
          <w:szCs w:val="21"/>
          <w:shd w:val="clear" w:color="auto" w:fill="FFFFFF"/>
          <w:lang w:val="zh-CN"/>
        </w:rPr>
        <w:t xml:space="preserve"> </w:t>
      </w:r>
      <w:r>
        <w:rPr>
          <w:rFonts w:hint="eastAsia"/>
          <w:szCs w:val="21"/>
          <w:shd w:val="clear" w:color="auto" w:fill="FFFFFF"/>
        </w:rPr>
        <w:t>年</w:t>
      </w:r>
      <w:r>
        <w:rPr>
          <w:rFonts w:hint="eastAsia"/>
          <w:szCs w:val="21"/>
          <w:shd w:val="clear" w:color="auto" w:fill="FFFFFF"/>
          <w:lang w:val="en-US" w:eastAsia="zh-CN"/>
        </w:rPr>
        <w:t>09</w:t>
      </w:r>
      <w:r>
        <w:rPr>
          <w:rFonts w:hint="eastAsia"/>
          <w:szCs w:val="21"/>
          <w:shd w:val="clear" w:color="auto" w:fill="FFFFFF"/>
        </w:rPr>
        <w:t>月</w:t>
      </w:r>
      <w:r>
        <w:rPr>
          <w:rFonts w:hint="eastAsia"/>
          <w:szCs w:val="21"/>
          <w:shd w:val="clear" w:color="auto" w:fill="FFFFFF"/>
          <w:lang w:val="en-US" w:eastAsia="zh-CN"/>
        </w:rPr>
        <w:t>22</w:t>
      </w:r>
      <w:r>
        <w:rPr>
          <w:rFonts w:hint="eastAsia"/>
          <w:szCs w:val="21"/>
          <w:shd w:val="clear" w:color="auto" w:fill="FFFFFF"/>
        </w:rPr>
        <w:t>日09</w:t>
      </w:r>
      <w:r>
        <w:rPr>
          <w:rFonts w:hint="eastAsia"/>
          <w:szCs w:val="21"/>
          <w:shd w:val="clear" w:color="auto" w:fill="FFFFFF"/>
          <w:lang w:val="zh-CN"/>
        </w:rPr>
        <w:t xml:space="preserve"> </w:t>
      </w:r>
      <w:r>
        <w:rPr>
          <w:rFonts w:hint="eastAsia"/>
          <w:szCs w:val="21"/>
          <w:shd w:val="clear" w:color="auto" w:fill="FFFFFF"/>
        </w:rPr>
        <w:t>时</w:t>
      </w:r>
      <w:r>
        <w:rPr>
          <w:rFonts w:hint="eastAsia"/>
          <w:szCs w:val="21"/>
          <w:shd w:val="clear" w:color="auto" w:fill="FFFFFF"/>
          <w:lang w:val="zh-CN"/>
        </w:rPr>
        <w:t xml:space="preserve"> </w:t>
      </w:r>
      <w:r>
        <w:rPr>
          <w:rFonts w:hint="eastAsia"/>
          <w:szCs w:val="21"/>
          <w:shd w:val="clear" w:color="auto" w:fill="FFFFFF"/>
        </w:rPr>
        <w:t>00分（北京时间）前递交投标文件。</w:t>
      </w:r>
    </w:p>
    <w:p w14:paraId="20FF4BEA">
      <w:pPr>
        <w:pStyle w:val="3"/>
        <w:keepNext w:val="0"/>
        <w:keepLines w:val="0"/>
        <w:widowControl/>
        <w:rPr>
          <w:rFonts w:hint="eastAsia" w:ascii="宋体" w:hAnsi="宋体"/>
          <w:bCs/>
          <w:sz w:val="21"/>
          <w:szCs w:val="21"/>
          <w:shd w:val="clear" w:color="auto" w:fill="FFFFFF"/>
        </w:rPr>
      </w:pPr>
      <w:bookmarkStart w:id="13" w:name="_Toc10906"/>
      <w:bookmarkStart w:id="14" w:name="_Toc29849"/>
      <w:bookmarkStart w:id="15" w:name="_Toc29186"/>
      <w:r>
        <w:rPr>
          <w:rFonts w:hint="eastAsia" w:ascii="宋体" w:hAnsi="宋体"/>
          <w:bCs/>
          <w:sz w:val="21"/>
          <w:szCs w:val="21"/>
          <w:shd w:val="clear" w:color="auto" w:fill="FFFFFF"/>
        </w:rPr>
        <w:t>一、项目基本情况</w:t>
      </w:r>
      <w:bookmarkEnd w:id="13"/>
      <w:bookmarkEnd w:id="14"/>
      <w:bookmarkEnd w:id="15"/>
    </w:p>
    <w:p w14:paraId="7D1026B2">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1、项目编号：豫财招标采购-2025-1026</w:t>
      </w:r>
    </w:p>
    <w:p w14:paraId="6FA980EF">
      <w:pPr>
        <w:widowControl/>
        <w:tabs>
          <w:tab w:val="left" w:pos="840"/>
        </w:tabs>
        <w:spacing w:line="360" w:lineRule="auto"/>
        <w:ind w:firstLine="420" w:firstLineChars="200"/>
        <w:jc w:val="left"/>
        <w:rPr>
          <w:rFonts w:hint="eastAsia" w:eastAsia="宋体"/>
          <w:szCs w:val="21"/>
          <w:shd w:val="clear" w:color="auto" w:fill="FFFFFF"/>
          <w:lang w:eastAsia="zh-CN"/>
        </w:rPr>
      </w:pPr>
      <w:r>
        <w:rPr>
          <w:rFonts w:hint="eastAsia"/>
          <w:szCs w:val="21"/>
          <w:shd w:val="clear" w:color="auto" w:fill="FFFFFF"/>
        </w:rPr>
        <w:t>2、项目名称：</w:t>
      </w:r>
      <w:r>
        <w:rPr>
          <w:rFonts w:hint="eastAsia"/>
          <w:szCs w:val="21"/>
          <w:shd w:val="clear" w:color="auto" w:fill="FFFFFF"/>
          <w:lang w:eastAsia="zh-CN"/>
        </w:rPr>
        <w:t>河南省地震局黄河流域（河南段）地震灾害风险防治工程——重大工程健康监测和诊断软硬件平台建设与集成项目采购项目</w:t>
      </w:r>
    </w:p>
    <w:p w14:paraId="54C43DD8">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3</w:t>
      </w:r>
      <w:bookmarkStart w:id="16" w:name="_Toc26725"/>
      <w:r>
        <w:rPr>
          <w:rFonts w:hint="eastAsia"/>
          <w:szCs w:val="21"/>
          <w:shd w:val="clear" w:color="auto" w:fill="FFFFFF"/>
        </w:rPr>
        <w:t>、采购方式：公开招标</w:t>
      </w:r>
    </w:p>
    <w:p w14:paraId="07856C67">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4、预算金额：4320000元</w:t>
      </w:r>
    </w:p>
    <w:p w14:paraId="249C523C">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 xml:space="preserve">   最高限价：4320000</w:t>
      </w:r>
      <w:r>
        <w:rPr>
          <w:rFonts w:hint="eastAsia"/>
          <w:szCs w:val="21"/>
          <w:shd w:val="clear" w:color="auto" w:fill="FFFFFF"/>
          <w:lang w:val="zh-CN"/>
        </w:rPr>
        <w:t>元</w:t>
      </w:r>
    </w:p>
    <w:tbl>
      <w:tblPr>
        <w:tblStyle w:val="23"/>
        <w:tblW w:w="4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635"/>
        <w:gridCol w:w="3019"/>
        <w:gridCol w:w="1432"/>
        <w:gridCol w:w="1428"/>
      </w:tblGrid>
      <w:tr w14:paraId="5689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16" w:type="pct"/>
            <w:vAlign w:val="center"/>
          </w:tcPr>
          <w:p w14:paraId="1C0B7EB9">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序号</w:t>
            </w:r>
          </w:p>
        </w:tc>
        <w:tc>
          <w:tcPr>
            <w:tcW w:w="997" w:type="pct"/>
            <w:vAlign w:val="center"/>
          </w:tcPr>
          <w:p w14:paraId="00093828">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包号</w:t>
            </w:r>
          </w:p>
        </w:tc>
        <w:tc>
          <w:tcPr>
            <w:tcW w:w="1841" w:type="pct"/>
            <w:vAlign w:val="center"/>
          </w:tcPr>
          <w:p w14:paraId="7CBC0BCD">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包名称</w:t>
            </w:r>
          </w:p>
        </w:tc>
        <w:tc>
          <w:tcPr>
            <w:tcW w:w="873" w:type="pct"/>
            <w:vAlign w:val="center"/>
          </w:tcPr>
          <w:p w14:paraId="551DBD4C">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包预算（元）</w:t>
            </w:r>
          </w:p>
        </w:tc>
        <w:tc>
          <w:tcPr>
            <w:tcW w:w="871" w:type="pct"/>
            <w:vAlign w:val="center"/>
          </w:tcPr>
          <w:p w14:paraId="70F3DD9B">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包最高限价（元）</w:t>
            </w:r>
          </w:p>
        </w:tc>
      </w:tr>
      <w:tr w14:paraId="73EE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16" w:type="pct"/>
            <w:vAlign w:val="center"/>
          </w:tcPr>
          <w:p w14:paraId="70CF9511">
            <w:pPr>
              <w:pStyle w:val="29"/>
              <w:spacing w:line="360" w:lineRule="auto"/>
              <w:jc w:val="center"/>
              <w:rPr>
                <w:rFonts w:hint="eastAsia"/>
                <w:color w:val="auto"/>
                <w:sz w:val="21"/>
                <w:szCs w:val="21"/>
                <w:shd w:val="clear" w:color="auto" w:fill="FFFFFF"/>
              </w:rPr>
            </w:pPr>
            <w:r>
              <w:rPr>
                <w:rFonts w:hint="eastAsia"/>
                <w:color w:val="auto"/>
                <w:sz w:val="21"/>
                <w:szCs w:val="21"/>
                <w:shd w:val="clear" w:color="auto" w:fill="FFFFFF"/>
              </w:rPr>
              <w:t>1</w:t>
            </w:r>
          </w:p>
        </w:tc>
        <w:tc>
          <w:tcPr>
            <w:tcW w:w="997" w:type="pct"/>
            <w:vAlign w:val="center"/>
          </w:tcPr>
          <w:p w14:paraId="66969BEB">
            <w:pPr>
              <w:pStyle w:val="29"/>
              <w:spacing w:line="360" w:lineRule="auto"/>
              <w:jc w:val="center"/>
              <w:rPr>
                <w:rFonts w:hint="eastAsia"/>
                <w:color w:val="auto"/>
                <w:sz w:val="21"/>
                <w:szCs w:val="21"/>
                <w:shd w:val="clear" w:color="auto" w:fill="FFFFFF"/>
              </w:rPr>
            </w:pPr>
            <w:r>
              <w:rPr>
                <w:rFonts w:hint="eastAsia" w:ascii="宋体" w:hAnsi="宋体" w:eastAsia="宋体" w:cs="宋体"/>
                <w:color w:val="auto"/>
                <w:sz w:val="21"/>
                <w:szCs w:val="21"/>
                <w:shd w:val="clear" w:color="auto" w:fill="FFFFFF"/>
              </w:rPr>
              <w:t xml:space="preserve"> 豫政采(2)20251544-1</w:t>
            </w:r>
            <w:r>
              <w:rPr>
                <w:rFonts w:hint="eastAsia"/>
                <w:color w:val="auto"/>
                <w:sz w:val="21"/>
                <w:szCs w:val="21"/>
                <w:shd w:val="clear" w:color="auto" w:fill="FFFFFF"/>
              </w:rPr>
              <w:t xml:space="preserve"> </w:t>
            </w:r>
          </w:p>
        </w:tc>
        <w:tc>
          <w:tcPr>
            <w:tcW w:w="1841" w:type="pct"/>
            <w:vAlign w:val="center"/>
          </w:tcPr>
          <w:p w14:paraId="3AE87232">
            <w:pPr>
              <w:pStyle w:val="29"/>
              <w:spacing w:line="360" w:lineRule="auto"/>
              <w:jc w:val="center"/>
              <w:rPr>
                <w:rFonts w:hint="eastAsia" w:eastAsia="宋体"/>
                <w:color w:val="auto"/>
                <w:sz w:val="21"/>
                <w:szCs w:val="21"/>
                <w:shd w:val="clear" w:color="auto" w:fill="FFFFFF"/>
                <w:lang w:eastAsia="zh-CN"/>
              </w:rPr>
            </w:pPr>
            <w:r>
              <w:rPr>
                <w:rFonts w:hint="eastAsia"/>
                <w:color w:val="auto"/>
                <w:sz w:val="21"/>
                <w:szCs w:val="21"/>
                <w:shd w:val="clear" w:color="auto" w:fill="FFFFFF"/>
                <w:lang w:eastAsia="zh-CN"/>
              </w:rPr>
              <w:t>河南省地震局黄河流域（河南段）地震灾害风险防治工程——重大工程健康监测和诊断软硬件平台建设与集成项目采购项目</w:t>
            </w:r>
          </w:p>
        </w:tc>
        <w:tc>
          <w:tcPr>
            <w:tcW w:w="873" w:type="pct"/>
            <w:vAlign w:val="center"/>
          </w:tcPr>
          <w:p w14:paraId="0271AA41">
            <w:pPr>
              <w:spacing w:line="360" w:lineRule="auto"/>
              <w:jc w:val="center"/>
              <w:rPr>
                <w:rFonts w:hint="eastAsia"/>
                <w:szCs w:val="21"/>
                <w:shd w:val="clear" w:color="auto" w:fill="FFFFFF"/>
              </w:rPr>
            </w:pPr>
            <w:r>
              <w:rPr>
                <w:rFonts w:hint="eastAsia"/>
                <w:szCs w:val="21"/>
                <w:shd w:val="clear" w:color="auto" w:fill="FFFFFF"/>
              </w:rPr>
              <w:t>4320000</w:t>
            </w:r>
          </w:p>
        </w:tc>
        <w:tc>
          <w:tcPr>
            <w:tcW w:w="871" w:type="pct"/>
            <w:vAlign w:val="center"/>
          </w:tcPr>
          <w:p w14:paraId="5D9D3B08">
            <w:pPr>
              <w:spacing w:line="360" w:lineRule="auto"/>
              <w:jc w:val="center"/>
              <w:rPr>
                <w:rFonts w:hint="eastAsia"/>
                <w:szCs w:val="21"/>
                <w:shd w:val="clear" w:color="auto" w:fill="FFFFFF"/>
              </w:rPr>
            </w:pPr>
            <w:r>
              <w:rPr>
                <w:rFonts w:hint="eastAsia"/>
                <w:szCs w:val="21"/>
                <w:shd w:val="clear" w:color="auto" w:fill="FFFFFF"/>
              </w:rPr>
              <w:t>4320000</w:t>
            </w:r>
          </w:p>
        </w:tc>
      </w:tr>
    </w:tbl>
    <w:p w14:paraId="1F4A9459">
      <w:pPr>
        <w:widowControl/>
        <w:tabs>
          <w:tab w:val="left" w:pos="840"/>
        </w:tabs>
        <w:spacing w:line="360" w:lineRule="auto"/>
        <w:ind w:firstLine="420" w:firstLineChars="200"/>
        <w:jc w:val="left"/>
        <w:rPr>
          <w:rFonts w:hint="eastAsia"/>
          <w:szCs w:val="21"/>
        </w:rPr>
      </w:pPr>
      <w:bookmarkStart w:id="17" w:name="_Toc21071"/>
      <w:bookmarkStart w:id="18" w:name="_Toc27913"/>
      <w:bookmarkStart w:id="19" w:name="_Toc19521"/>
      <w:bookmarkStart w:id="20" w:name="_Toc26079"/>
      <w:bookmarkStart w:id="21" w:name="_Toc24040"/>
      <w:r>
        <w:rPr>
          <w:rFonts w:hint="eastAsia"/>
          <w:szCs w:val="21"/>
          <w:shd w:val="clear" w:color="auto" w:fill="FFFFFF"/>
        </w:rPr>
        <w:t>5、采购需求</w:t>
      </w:r>
      <w:bookmarkEnd w:id="17"/>
      <w:bookmarkEnd w:id="18"/>
      <w:bookmarkEnd w:id="19"/>
      <w:bookmarkEnd w:id="20"/>
      <w:bookmarkEnd w:id="21"/>
      <w:r>
        <w:rPr>
          <w:rFonts w:hint="eastAsia"/>
          <w:szCs w:val="21"/>
          <w:shd w:val="clear" w:color="auto" w:fill="FFFFFF"/>
        </w:rPr>
        <w:t>：</w:t>
      </w:r>
      <w:r>
        <w:rPr>
          <w:rFonts w:hint="eastAsia"/>
          <w:szCs w:val="21"/>
        </w:rPr>
        <w:t>（包括但不限于标的的名称、数量、简要技术需求或服务要求等）</w:t>
      </w:r>
    </w:p>
    <w:p w14:paraId="0B29E0FE">
      <w:pPr>
        <w:widowControl/>
        <w:tabs>
          <w:tab w:val="left" w:pos="840"/>
        </w:tabs>
        <w:spacing w:line="360" w:lineRule="auto"/>
        <w:ind w:firstLine="420" w:firstLineChars="200"/>
        <w:jc w:val="left"/>
        <w:rPr>
          <w:rFonts w:hint="eastAsia"/>
          <w:szCs w:val="21"/>
          <w:shd w:val="clear" w:color="auto" w:fill="FFFFFF"/>
        </w:rPr>
      </w:pPr>
      <w:bookmarkStart w:id="22" w:name="OLE_LINK47"/>
      <w:r>
        <w:rPr>
          <w:rFonts w:hint="eastAsia"/>
          <w:szCs w:val="21"/>
          <w:shd w:val="clear" w:color="auto" w:fill="FFFFFF"/>
        </w:rPr>
        <w:t>5.1服务内容：</w:t>
      </w:r>
      <w:bookmarkStart w:id="23" w:name="OLE_LINK13"/>
      <w:r>
        <w:rPr>
          <w:rFonts w:hint="eastAsia"/>
          <w:szCs w:val="21"/>
          <w:shd w:val="clear" w:color="auto" w:fill="FFFFFF"/>
        </w:rPr>
        <w:t>本项目为</w:t>
      </w:r>
      <w:r>
        <w:rPr>
          <w:rFonts w:hint="eastAsia"/>
          <w:szCs w:val="21"/>
          <w:shd w:val="clear" w:color="auto" w:fill="FFFFFF"/>
          <w:lang w:eastAsia="zh-CN"/>
        </w:rPr>
        <w:t>河南省地震局黄河流域（河南段）地震灾害风险防治工程——重大工程健康监测和诊断软硬件平台建设与集成项目采购项目</w:t>
      </w:r>
      <w:r>
        <w:rPr>
          <w:rFonts w:hint="eastAsia"/>
          <w:szCs w:val="21"/>
          <w:shd w:val="clear" w:color="auto" w:fill="FFFFFF"/>
        </w:rPr>
        <w:t>，具体内容包括两部分内容，第一部分为重大工程地震安全在线监测与健康诊断平台建设，建设内容围绕重大工程地震安全在线监测与健康诊断信息平台、平台UI界面、系统数据库及监测数据分析等功能展开；第二部分为应用示范工程建设，具体建设内容包括小浪底水库大坝强震监测系统和濮阳白堽黄河公路大桥监测系统。</w:t>
      </w:r>
      <w:bookmarkEnd w:id="23"/>
    </w:p>
    <w:p w14:paraId="60A92EC3">
      <w:pPr>
        <w:pStyle w:val="7"/>
        <w:spacing w:line="360" w:lineRule="auto"/>
        <w:rPr>
          <w:rFonts w:hint="eastAsia"/>
          <w:szCs w:val="21"/>
        </w:rPr>
      </w:pPr>
      <w:r>
        <w:rPr>
          <w:rFonts w:hint="eastAsia"/>
          <w:szCs w:val="21"/>
        </w:rPr>
        <w:t>5.2 质保期：</w:t>
      </w:r>
      <w:bookmarkStart w:id="24" w:name="OLE_LINK7"/>
      <w:r>
        <w:rPr>
          <w:rFonts w:hint="eastAsia"/>
          <w:szCs w:val="21"/>
        </w:rPr>
        <w:t>自验收合格之日起2年，提供软硬件平台维护服务和运行技术支持。</w:t>
      </w:r>
      <w:bookmarkEnd w:id="24"/>
    </w:p>
    <w:p w14:paraId="5573DB69">
      <w:pPr>
        <w:widowControl/>
        <w:adjustRightInd w:val="0"/>
        <w:snapToGrid w:val="0"/>
        <w:spacing w:line="360" w:lineRule="auto"/>
        <w:ind w:firstLine="420" w:firstLineChars="200"/>
        <w:jc w:val="left"/>
        <w:rPr>
          <w:rFonts w:hint="eastAsia"/>
          <w:szCs w:val="21"/>
        </w:rPr>
      </w:pPr>
      <w:r>
        <w:rPr>
          <w:rFonts w:hint="eastAsia"/>
          <w:szCs w:val="21"/>
        </w:rPr>
        <w:t>5.3 服务地点：</w:t>
      </w:r>
      <w:bookmarkStart w:id="25" w:name="OLE_LINK6"/>
      <w:r>
        <w:rPr>
          <w:rFonts w:hint="eastAsia"/>
          <w:szCs w:val="21"/>
        </w:rPr>
        <w:t>用户指定地点</w:t>
      </w:r>
      <w:bookmarkEnd w:id="25"/>
      <w:r>
        <w:rPr>
          <w:rFonts w:hint="eastAsia"/>
          <w:szCs w:val="21"/>
        </w:rPr>
        <w:t>。</w:t>
      </w:r>
    </w:p>
    <w:p w14:paraId="58B52C8D">
      <w:pPr>
        <w:widowControl/>
        <w:adjustRightInd w:val="0"/>
        <w:snapToGrid w:val="0"/>
        <w:spacing w:line="360" w:lineRule="auto"/>
        <w:ind w:firstLine="420" w:firstLineChars="200"/>
        <w:jc w:val="left"/>
        <w:rPr>
          <w:rFonts w:hint="eastAsia"/>
          <w:szCs w:val="21"/>
          <w:highlight w:val="none"/>
        </w:rPr>
      </w:pPr>
      <w:r>
        <w:rPr>
          <w:rFonts w:hint="eastAsia"/>
          <w:szCs w:val="21"/>
        </w:rPr>
        <w:t>5.4</w:t>
      </w:r>
      <w:r>
        <w:rPr>
          <w:rFonts w:hint="eastAsia"/>
          <w:szCs w:val="21"/>
          <w:highlight w:val="none"/>
        </w:rPr>
        <w:t xml:space="preserve"> 服务标准：</w:t>
      </w:r>
      <w:bookmarkStart w:id="26" w:name="OLE_LINK12"/>
      <w:bookmarkStart w:id="27" w:name="OLE_LINK10"/>
      <w:r>
        <w:rPr>
          <w:rFonts w:hint="eastAsia"/>
          <w:szCs w:val="21"/>
          <w:highlight w:val="none"/>
        </w:rPr>
        <w:t>合格，符合相关的国家标准、行业标准和专业标准</w:t>
      </w:r>
      <w:bookmarkEnd w:id="26"/>
      <w:r>
        <w:rPr>
          <w:rFonts w:hint="eastAsia"/>
          <w:szCs w:val="21"/>
          <w:highlight w:val="none"/>
        </w:rPr>
        <w:t>。</w:t>
      </w:r>
      <w:bookmarkEnd w:id="27"/>
    </w:p>
    <w:p w14:paraId="397AFC28">
      <w:pPr>
        <w:widowControl/>
        <w:adjustRightInd w:val="0"/>
        <w:snapToGrid w:val="0"/>
        <w:spacing w:line="360" w:lineRule="auto"/>
        <w:ind w:firstLine="420" w:firstLineChars="200"/>
        <w:jc w:val="left"/>
        <w:rPr>
          <w:rFonts w:hint="eastAsia"/>
          <w:szCs w:val="21"/>
          <w:highlight w:val="none"/>
        </w:rPr>
      </w:pPr>
      <w:r>
        <w:rPr>
          <w:rFonts w:hint="eastAsia"/>
          <w:szCs w:val="21"/>
          <w:highlight w:val="none"/>
        </w:rPr>
        <w:t>5.5 履约验收：按照招标文件要求验收标准进行验收。</w:t>
      </w:r>
      <w:bookmarkEnd w:id="22"/>
    </w:p>
    <w:p w14:paraId="3E2869B1">
      <w:pPr>
        <w:pStyle w:val="20"/>
        <w:widowControl/>
        <w:spacing w:before="0" w:beforeAutospacing="0" w:after="0" w:afterAutospacing="0" w:line="360" w:lineRule="auto"/>
        <w:ind w:firstLine="420" w:firstLineChars="200"/>
        <w:rPr>
          <w:rFonts w:hint="eastAsia" w:cs="宋体"/>
          <w:sz w:val="21"/>
          <w:szCs w:val="21"/>
          <w:highlight w:val="none"/>
        </w:rPr>
      </w:pPr>
      <w:r>
        <w:rPr>
          <w:rFonts w:hint="eastAsia" w:cs="宋体"/>
          <w:sz w:val="21"/>
          <w:szCs w:val="21"/>
          <w:highlight w:val="none"/>
        </w:rPr>
        <w:t>6、合同履行期限：5个月。</w:t>
      </w:r>
    </w:p>
    <w:p w14:paraId="2F6B7901">
      <w:pPr>
        <w:pStyle w:val="20"/>
        <w:widowControl/>
        <w:spacing w:before="0" w:beforeAutospacing="0" w:after="0" w:afterAutospacing="0" w:line="360" w:lineRule="auto"/>
        <w:ind w:firstLine="420" w:firstLineChars="200"/>
        <w:rPr>
          <w:rFonts w:hint="eastAsia" w:cs="宋体"/>
          <w:sz w:val="21"/>
          <w:szCs w:val="21"/>
          <w:highlight w:val="none"/>
        </w:rPr>
      </w:pPr>
      <w:r>
        <w:rPr>
          <w:rFonts w:hint="eastAsia" w:cs="宋体"/>
          <w:sz w:val="21"/>
          <w:szCs w:val="21"/>
          <w:highlight w:val="none"/>
        </w:rPr>
        <w:t>7、本项目是否接受联合体投标：是</w:t>
      </w:r>
    </w:p>
    <w:p w14:paraId="490DDCB3">
      <w:pPr>
        <w:pStyle w:val="20"/>
        <w:widowControl/>
        <w:spacing w:before="0" w:beforeAutospacing="0" w:after="0" w:afterAutospacing="0" w:line="360" w:lineRule="auto"/>
        <w:ind w:firstLine="420" w:firstLineChars="200"/>
        <w:rPr>
          <w:rFonts w:hint="eastAsia" w:cs="宋体"/>
          <w:sz w:val="21"/>
          <w:szCs w:val="21"/>
          <w:shd w:val="clear" w:color="auto" w:fill="FFFFFF"/>
        </w:rPr>
      </w:pPr>
      <w:r>
        <w:rPr>
          <w:rFonts w:hint="eastAsia" w:cs="宋体"/>
          <w:sz w:val="21"/>
          <w:szCs w:val="21"/>
          <w:shd w:val="clear" w:color="auto" w:fill="FFFFFF"/>
        </w:rPr>
        <w:t>8、是否接受进口产品：否</w:t>
      </w:r>
    </w:p>
    <w:p w14:paraId="33D8A7DA">
      <w:pPr>
        <w:pStyle w:val="20"/>
        <w:widowControl/>
        <w:spacing w:before="0" w:beforeAutospacing="0" w:after="0" w:afterAutospacing="0" w:line="360" w:lineRule="auto"/>
        <w:ind w:firstLine="420" w:firstLineChars="200"/>
        <w:rPr>
          <w:rFonts w:hint="eastAsia" w:cs="宋体"/>
          <w:b/>
          <w:bCs/>
          <w:sz w:val="21"/>
          <w:szCs w:val="21"/>
          <w:shd w:val="clear" w:color="auto" w:fill="FFFFFF"/>
        </w:rPr>
      </w:pPr>
      <w:r>
        <w:rPr>
          <w:rFonts w:hint="eastAsia" w:cs="宋体"/>
          <w:sz w:val="21"/>
          <w:szCs w:val="21"/>
          <w:shd w:val="clear" w:color="auto" w:fill="FFFFFF"/>
        </w:rPr>
        <w:t>9、是否为只面向中小企业采购：否</w:t>
      </w:r>
    </w:p>
    <w:p w14:paraId="19AC3475">
      <w:pPr>
        <w:pStyle w:val="3"/>
        <w:keepNext w:val="0"/>
        <w:keepLines w:val="0"/>
        <w:widowControl/>
        <w:rPr>
          <w:rFonts w:hint="eastAsia" w:ascii="宋体" w:hAnsi="宋体"/>
          <w:bCs/>
          <w:sz w:val="21"/>
          <w:szCs w:val="21"/>
          <w:shd w:val="clear" w:color="auto" w:fill="FFFFFF"/>
        </w:rPr>
      </w:pPr>
      <w:bookmarkStart w:id="28" w:name="_Toc16639"/>
      <w:bookmarkStart w:id="29" w:name="_Toc18607"/>
      <w:bookmarkStart w:id="30" w:name="_Toc23626"/>
      <w:bookmarkStart w:id="31" w:name="_Toc27704"/>
      <w:bookmarkStart w:id="32" w:name="_Toc27700"/>
      <w:bookmarkStart w:id="33" w:name="_Toc25867"/>
      <w:bookmarkStart w:id="34" w:name="_Toc2751"/>
      <w:r>
        <w:rPr>
          <w:rFonts w:hint="eastAsia" w:ascii="宋体" w:hAnsi="宋体"/>
          <w:bCs/>
          <w:sz w:val="21"/>
          <w:szCs w:val="21"/>
          <w:shd w:val="clear" w:color="auto" w:fill="FFFFFF"/>
        </w:rPr>
        <w:t>二、</w:t>
      </w:r>
      <w:bookmarkEnd w:id="16"/>
      <w:bookmarkEnd w:id="28"/>
      <w:bookmarkEnd w:id="29"/>
      <w:bookmarkEnd w:id="30"/>
      <w:bookmarkEnd w:id="31"/>
      <w:r>
        <w:rPr>
          <w:rFonts w:hint="eastAsia" w:ascii="宋体" w:hAnsi="宋体"/>
          <w:bCs/>
          <w:sz w:val="21"/>
          <w:szCs w:val="21"/>
          <w:shd w:val="clear" w:color="auto" w:fill="FFFFFF"/>
        </w:rPr>
        <w:t>申请人资格要求：</w:t>
      </w:r>
      <w:bookmarkEnd w:id="32"/>
      <w:bookmarkEnd w:id="33"/>
      <w:bookmarkEnd w:id="34"/>
    </w:p>
    <w:p w14:paraId="7E65334F">
      <w:pPr>
        <w:pStyle w:val="29"/>
        <w:spacing w:line="360" w:lineRule="auto"/>
        <w:ind w:firstLine="420" w:firstLineChars="200"/>
        <w:rPr>
          <w:rFonts w:hint="eastAsia"/>
          <w:color w:val="auto"/>
          <w:sz w:val="21"/>
          <w:szCs w:val="21"/>
        </w:rPr>
      </w:pPr>
      <w:r>
        <w:rPr>
          <w:rFonts w:hint="eastAsia"/>
          <w:color w:val="auto"/>
          <w:sz w:val="21"/>
          <w:szCs w:val="21"/>
        </w:rPr>
        <w:t>1、满足《中华人民共和国政府采购法》第二十二条规定。</w:t>
      </w:r>
    </w:p>
    <w:p w14:paraId="0B6E507E">
      <w:pPr>
        <w:pStyle w:val="29"/>
        <w:spacing w:line="360" w:lineRule="auto"/>
        <w:ind w:firstLine="420" w:firstLineChars="200"/>
        <w:rPr>
          <w:rFonts w:hint="eastAsia"/>
          <w:color w:val="auto"/>
          <w:sz w:val="21"/>
          <w:szCs w:val="21"/>
        </w:rPr>
      </w:pPr>
      <w:r>
        <w:rPr>
          <w:rFonts w:hint="eastAsia"/>
          <w:color w:val="auto"/>
          <w:sz w:val="21"/>
          <w:szCs w:val="21"/>
        </w:rPr>
        <w:t>2、落实政府采购政策满足的资格要求：</w:t>
      </w:r>
    </w:p>
    <w:p w14:paraId="2212AFBE">
      <w:pPr>
        <w:pStyle w:val="29"/>
        <w:spacing w:line="360" w:lineRule="auto"/>
        <w:ind w:firstLine="420" w:firstLineChars="200"/>
        <w:rPr>
          <w:rFonts w:hint="eastAsia"/>
          <w:color w:val="auto"/>
          <w:sz w:val="21"/>
          <w:szCs w:val="21"/>
        </w:rPr>
      </w:pPr>
      <w:bookmarkStart w:id="35" w:name="OLE_LINK49"/>
      <w:r>
        <w:rPr>
          <w:rFonts w:hint="eastAsia"/>
          <w:color w:val="auto"/>
          <w:sz w:val="21"/>
          <w:szCs w:val="21"/>
        </w:rPr>
        <w:t>本项目执行促进中小型企业发展政策（监狱企业、残疾人福利性企业视同小微企业）、强制采购节能产品、优先采购节能环保产品等政府采购政策。</w:t>
      </w:r>
      <w:bookmarkEnd w:id="35"/>
    </w:p>
    <w:p w14:paraId="41ECC7D1">
      <w:pPr>
        <w:pStyle w:val="29"/>
        <w:spacing w:line="360" w:lineRule="auto"/>
        <w:ind w:firstLine="420" w:firstLineChars="200"/>
        <w:rPr>
          <w:rFonts w:hint="eastAsia"/>
          <w:color w:val="auto"/>
          <w:sz w:val="21"/>
          <w:szCs w:val="21"/>
        </w:rPr>
      </w:pPr>
      <w:r>
        <w:rPr>
          <w:rFonts w:hint="eastAsia"/>
          <w:color w:val="auto"/>
          <w:sz w:val="21"/>
          <w:szCs w:val="21"/>
        </w:rPr>
        <w:t>3、本项目的特定资格要求：</w:t>
      </w:r>
    </w:p>
    <w:p w14:paraId="33BA74D1">
      <w:pPr>
        <w:pStyle w:val="29"/>
        <w:spacing w:line="360" w:lineRule="auto"/>
        <w:ind w:firstLine="420" w:firstLineChars="200"/>
        <w:jc w:val="both"/>
        <w:rPr>
          <w:rFonts w:hint="eastAsia"/>
          <w:color w:val="auto"/>
          <w:sz w:val="21"/>
          <w:szCs w:val="21"/>
        </w:rPr>
      </w:pPr>
      <w:bookmarkStart w:id="36" w:name="OLE_LINK50"/>
      <w:r>
        <w:rPr>
          <w:rFonts w:hint="eastAsia"/>
          <w:color w:val="auto"/>
          <w:sz w:val="21"/>
          <w:szCs w:val="21"/>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被列入失信被执行人、重大税收违法失信主体、政府采购严重违法失信行为记录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如是联合体投标的，联合体所有成员均须提供）。</w:t>
      </w:r>
    </w:p>
    <w:p w14:paraId="1320523E">
      <w:pPr>
        <w:pStyle w:val="29"/>
        <w:spacing w:line="360" w:lineRule="auto"/>
        <w:ind w:firstLine="420" w:firstLineChars="200"/>
        <w:rPr>
          <w:rFonts w:hint="eastAsia"/>
          <w:color w:val="auto"/>
          <w:sz w:val="21"/>
          <w:szCs w:val="21"/>
        </w:rPr>
      </w:pPr>
      <w:r>
        <w:rPr>
          <w:rFonts w:hint="eastAsia"/>
          <w:color w:val="auto"/>
          <w:sz w:val="21"/>
          <w:szCs w:val="21"/>
        </w:rPr>
        <w:t>3.2 单位负责人为同一人或者存在直接控股、管理关系的不同投标人，不得参加同一合同项下的政府采购活动（提供相关承诺函，格式自拟）。</w:t>
      </w:r>
      <w:bookmarkStart w:id="37" w:name="OLE_LINK45"/>
      <w:r>
        <w:rPr>
          <w:rFonts w:hint="eastAsia"/>
          <w:color w:val="auto"/>
          <w:sz w:val="21"/>
          <w:szCs w:val="21"/>
        </w:rPr>
        <w:t>（如是联合体投标的，联合体所有成员均须提供）。</w:t>
      </w:r>
      <w:bookmarkEnd w:id="37"/>
    </w:p>
    <w:bookmarkEnd w:id="36"/>
    <w:p w14:paraId="59FFBF9B">
      <w:pPr>
        <w:pStyle w:val="29"/>
        <w:spacing w:line="360" w:lineRule="auto"/>
        <w:ind w:firstLine="420" w:firstLineChars="200"/>
        <w:rPr>
          <w:rFonts w:hint="eastAsia"/>
          <w:color w:val="auto"/>
          <w:sz w:val="21"/>
          <w:szCs w:val="21"/>
        </w:rPr>
      </w:pPr>
      <w:r>
        <w:rPr>
          <w:rFonts w:hint="eastAsia"/>
          <w:color w:val="auto"/>
          <w:sz w:val="21"/>
          <w:szCs w:val="21"/>
        </w:rPr>
        <w:t>3.3 为本采购项目提供整体设计、规范编制或者项目管理、监理、检测等服务的，不得再参加本项目的其他招标采购活动（提供相关承诺函，格式自拟）。（如是联合体投标的，联合体所有成员均须提供）。</w:t>
      </w:r>
    </w:p>
    <w:p w14:paraId="43668828">
      <w:pPr>
        <w:pStyle w:val="29"/>
        <w:spacing w:line="360" w:lineRule="auto"/>
        <w:ind w:firstLine="420" w:firstLineChars="200"/>
        <w:rPr>
          <w:rFonts w:hint="eastAsia"/>
          <w:color w:val="auto"/>
          <w:sz w:val="21"/>
          <w:szCs w:val="21"/>
        </w:rPr>
      </w:pPr>
      <w:r>
        <w:rPr>
          <w:rFonts w:hint="eastAsia"/>
          <w:color w:val="auto"/>
          <w:sz w:val="21"/>
          <w:szCs w:val="21"/>
        </w:rPr>
        <w:t>3.4本次招标接受联合体投标。联合体投标的，应满足下列要求：</w:t>
      </w:r>
    </w:p>
    <w:p w14:paraId="4F82411E">
      <w:pPr>
        <w:pStyle w:val="29"/>
        <w:spacing w:line="360" w:lineRule="auto"/>
        <w:ind w:firstLine="420" w:firstLineChars="200"/>
        <w:rPr>
          <w:rFonts w:hint="eastAsia"/>
          <w:color w:val="auto"/>
          <w:sz w:val="21"/>
          <w:szCs w:val="21"/>
        </w:rPr>
      </w:pPr>
      <w:r>
        <w:rPr>
          <w:rFonts w:hint="eastAsia"/>
          <w:color w:val="auto"/>
          <w:sz w:val="21"/>
          <w:szCs w:val="21"/>
        </w:rPr>
        <w:t>3.4.1 联合体各成员都必须是财务自主、独立核算、有独立的经营权和决策权的独立法人；</w:t>
      </w:r>
    </w:p>
    <w:p w14:paraId="53090CE4">
      <w:pPr>
        <w:pStyle w:val="29"/>
        <w:spacing w:line="360" w:lineRule="auto"/>
        <w:ind w:firstLine="420" w:firstLineChars="200"/>
        <w:rPr>
          <w:rFonts w:hint="eastAsia"/>
          <w:color w:val="auto"/>
          <w:sz w:val="21"/>
          <w:szCs w:val="21"/>
        </w:rPr>
      </w:pPr>
      <w:r>
        <w:rPr>
          <w:rFonts w:hint="eastAsia"/>
          <w:color w:val="auto"/>
          <w:sz w:val="21"/>
          <w:szCs w:val="21"/>
        </w:rPr>
        <w:t>3.4.2 联合体成员单位不超过2家，联合体各方应共同签订联合体协议书，并确定联合体牵头人。牵头人合法代表联合体双方成员负责本项目投标。本项目的法人授权委托书须由联合体各方的法定代表人签字并加盖公章；</w:t>
      </w:r>
    </w:p>
    <w:p w14:paraId="1D405D5F">
      <w:pPr>
        <w:pStyle w:val="29"/>
        <w:spacing w:line="360" w:lineRule="auto"/>
        <w:ind w:firstLine="420" w:firstLineChars="200"/>
        <w:rPr>
          <w:rFonts w:hint="eastAsia"/>
          <w:color w:val="auto"/>
          <w:sz w:val="21"/>
          <w:szCs w:val="21"/>
        </w:rPr>
      </w:pPr>
      <w:r>
        <w:rPr>
          <w:rFonts w:hint="eastAsia"/>
          <w:color w:val="auto"/>
          <w:sz w:val="21"/>
          <w:szCs w:val="21"/>
        </w:rPr>
        <w:t>3.4.3 联合体各方应共同签订联合体协议书，联合体各成员的法定代表人都应在联合体协议书上签字并加盖单位公章；协议书应明确联合体牵头人和各方权利义务及责任，以及各方拟承担工作量的内容和比例。联合体中标的，联合体各方应当共同与招标人签订合同，就中标项目向招标人承担连带责任；</w:t>
      </w:r>
    </w:p>
    <w:p w14:paraId="494AD77C">
      <w:pPr>
        <w:pStyle w:val="29"/>
        <w:spacing w:line="360" w:lineRule="auto"/>
        <w:ind w:firstLine="420" w:firstLineChars="200"/>
        <w:rPr>
          <w:rFonts w:hint="eastAsia"/>
          <w:color w:val="auto"/>
          <w:sz w:val="21"/>
          <w:szCs w:val="21"/>
        </w:rPr>
      </w:pPr>
      <w:r>
        <w:rPr>
          <w:rFonts w:hint="eastAsia"/>
          <w:color w:val="auto"/>
          <w:sz w:val="21"/>
          <w:szCs w:val="21"/>
        </w:rPr>
        <w:t>3.4.4 联合体各成员签订联合体协议书后，不得再以自己的名义单独投标，也不得组成新的联合体或参加其他联合体在同一项目中投标，否则，其所有投标无效。</w:t>
      </w:r>
    </w:p>
    <w:p w14:paraId="57397EF2">
      <w:pPr>
        <w:pStyle w:val="3"/>
        <w:keepNext w:val="0"/>
        <w:keepLines w:val="0"/>
        <w:widowControl/>
        <w:rPr>
          <w:rFonts w:hint="eastAsia" w:ascii="宋体" w:hAnsi="宋体"/>
          <w:bCs/>
          <w:sz w:val="21"/>
          <w:szCs w:val="21"/>
        </w:rPr>
      </w:pPr>
      <w:bookmarkStart w:id="38" w:name="_Toc23395"/>
      <w:bookmarkStart w:id="39" w:name="_Toc7823"/>
      <w:bookmarkStart w:id="40" w:name="_Toc15037"/>
      <w:bookmarkStart w:id="41" w:name="_Toc16528"/>
      <w:bookmarkStart w:id="42" w:name="_Toc9562"/>
      <w:bookmarkStart w:id="43" w:name="_Toc28355"/>
      <w:bookmarkStart w:id="44" w:name="_Toc30971"/>
      <w:bookmarkStart w:id="45" w:name="_Toc30643"/>
      <w:r>
        <w:rPr>
          <w:rFonts w:hint="eastAsia" w:ascii="宋体" w:hAnsi="宋体"/>
          <w:bCs/>
          <w:sz w:val="21"/>
          <w:szCs w:val="21"/>
          <w:shd w:val="clear" w:color="auto" w:fill="FFFFFF"/>
        </w:rPr>
        <w:t>三、获取招标文件</w:t>
      </w:r>
      <w:bookmarkEnd w:id="38"/>
      <w:bookmarkEnd w:id="39"/>
      <w:bookmarkEnd w:id="40"/>
      <w:bookmarkEnd w:id="41"/>
      <w:bookmarkEnd w:id="42"/>
      <w:bookmarkEnd w:id="43"/>
      <w:bookmarkEnd w:id="44"/>
      <w:bookmarkEnd w:id="45"/>
    </w:p>
    <w:p w14:paraId="53C7EE04">
      <w:pPr>
        <w:pStyle w:val="20"/>
        <w:widowControl/>
        <w:wordWrap w:val="0"/>
        <w:spacing w:before="0" w:beforeAutospacing="0" w:after="0" w:afterAutospacing="0" w:line="360" w:lineRule="auto"/>
        <w:ind w:firstLine="420" w:firstLineChars="200"/>
        <w:rPr>
          <w:rFonts w:hint="eastAsia" w:cs="宋体"/>
          <w:sz w:val="21"/>
          <w:szCs w:val="21"/>
        </w:rPr>
      </w:pPr>
      <w:r>
        <w:rPr>
          <w:rFonts w:hint="eastAsia" w:cs="宋体"/>
          <w:sz w:val="21"/>
          <w:szCs w:val="21"/>
        </w:rPr>
        <w:t>1、时间：2025年</w:t>
      </w:r>
      <w:r>
        <w:rPr>
          <w:rFonts w:hint="eastAsia" w:cs="宋体"/>
          <w:sz w:val="21"/>
          <w:szCs w:val="21"/>
          <w:lang w:val="en-US" w:eastAsia="zh-CN"/>
        </w:rPr>
        <w:t>09</w:t>
      </w:r>
      <w:r>
        <w:rPr>
          <w:rFonts w:hint="eastAsia" w:cs="宋体"/>
          <w:sz w:val="21"/>
          <w:szCs w:val="21"/>
        </w:rPr>
        <w:t>月</w:t>
      </w:r>
      <w:r>
        <w:rPr>
          <w:rFonts w:hint="eastAsia" w:cs="宋体"/>
          <w:sz w:val="21"/>
          <w:szCs w:val="21"/>
          <w:lang w:val="en-US" w:eastAsia="zh-CN"/>
        </w:rPr>
        <w:t>01</w:t>
      </w:r>
      <w:r>
        <w:rPr>
          <w:rFonts w:hint="eastAsia" w:cs="宋体"/>
          <w:sz w:val="21"/>
          <w:szCs w:val="21"/>
        </w:rPr>
        <w:t>日至2025年</w:t>
      </w:r>
      <w:r>
        <w:rPr>
          <w:rFonts w:hint="eastAsia" w:cs="宋体"/>
          <w:sz w:val="21"/>
          <w:szCs w:val="21"/>
          <w:lang w:val="en-US" w:eastAsia="zh-CN"/>
        </w:rPr>
        <w:t>09</w:t>
      </w:r>
      <w:r>
        <w:rPr>
          <w:rFonts w:hint="eastAsia" w:cs="宋体"/>
          <w:sz w:val="21"/>
          <w:szCs w:val="21"/>
        </w:rPr>
        <w:t>月</w:t>
      </w:r>
      <w:r>
        <w:rPr>
          <w:rFonts w:hint="eastAsia" w:cs="宋体"/>
          <w:sz w:val="21"/>
          <w:szCs w:val="21"/>
          <w:lang w:val="en-US" w:eastAsia="zh-CN"/>
        </w:rPr>
        <w:t>05</w:t>
      </w:r>
      <w:r>
        <w:rPr>
          <w:rFonts w:hint="eastAsia" w:cs="宋体"/>
          <w:sz w:val="21"/>
          <w:szCs w:val="21"/>
        </w:rPr>
        <w:t>日，每天上午00:00至12:00，下午12:00至23:59（北京时间，法定节假日除外）</w:t>
      </w:r>
    </w:p>
    <w:p w14:paraId="38030311">
      <w:pPr>
        <w:pStyle w:val="20"/>
        <w:widowControl/>
        <w:wordWrap w:val="0"/>
        <w:spacing w:before="0" w:beforeAutospacing="0" w:after="0" w:afterAutospacing="0" w:line="360" w:lineRule="auto"/>
        <w:ind w:firstLine="420" w:firstLineChars="200"/>
        <w:rPr>
          <w:rFonts w:hint="eastAsia" w:cs="宋体"/>
          <w:sz w:val="21"/>
          <w:szCs w:val="21"/>
        </w:rPr>
      </w:pPr>
      <w:r>
        <w:rPr>
          <w:rFonts w:hint="eastAsia" w:cs="宋体"/>
          <w:sz w:val="21"/>
          <w:szCs w:val="21"/>
        </w:rPr>
        <w:t>2、地点：</w:t>
      </w:r>
      <w:bookmarkStart w:id="46" w:name="OLE_LINK51"/>
      <w:bookmarkStart w:id="47" w:name="OLE_LINK92"/>
      <w:r>
        <w:rPr>
          <w:rFonts w:hint="eastAsia" w:cs="宋体"/>
          <w:sz w:val="21"/>
          <w:szCs w:val="21"/>
        </w:rPr>
        <w:t>登录《河南省公共资源交易中心》网站（</w:t>
      </w:r>
      <w:bookmarkStart w:id="48" w:name="OLE_LINK40"/>
      <w:r>
        <w:rPr>
          <w:rFonts w:hint="eastAsia" w:cs="宋体"/>
          <w:sz w:val="21"/>
          <w:szCs w:val="21"/>
        </w:rPr>
        <w:t>http://hnsggzyjy.henan.gov.cn/</w:t>
      </w:r>
      <w:bookmarkEnd w:id="48"/>
      <w:r>
        <w:rPr>
          <w:rFonts w:hint="eastAsia" w:cs="宋体"/>
          <w:sz w:val="21"/>
          <w:szCs w:val="21"/>
        </w:rPr>
        <w:t>）</w:t>
      </w:r>
      <w:bookmarkEnd w:id="46"/>
      <w:r>
        <w:rPr>
          <w:rFonts w:hint="eastAsia" w:cs="宋体"/>
          <w:sz w:val="21"/>
          <w:szCs w:val="21"/>
        </w:rPr>
        <w:t>。</w:t>
      </w:r>
      <w:bookmarkEnd w:id="47"/>
    </w:p>
    <w:p w14:paraId="6699876E">
      <w:pPr>
        <w:pStyle w:val="20"/>
        <w:widowControl/>
        <w:wordWrap w:val="0"/>
        <w:spacing w:before="0" w:beforeAutospacing="0" w:after="0" w:afterAutospacing="0" w:line="360" w:lineRule="auto"/>
        <w:ind w:firstLine="420" w:firstLineChars="200"/>
        <w:rPr>
          <w:rFonts w:hint="eastAsia" w:cs="宋体"/>
          <w:sz w:val="21"/>
          <w:szCs w:val="21"/>
        </w:rPr>
      </w:pPr>
      <w:r>
        <w:rPr>
          <w:rFonts w:hint="eastAsia" w:cs="宋体"/>
          <w:sz w:val="21"/>
          <w:szCs w:val="21"/>
        </w:rPr>
        <w:t>3、方式：</w:t>
      </w:r>
      <w:bookmarkStart w:id="49" w:name="OLE_LINK52"/>
      <w:r>
        <w:rPr>
          <w:rFonts w:hint="eastAsia" w:cs="宋体"/>
          <w:sz w:val="21"/>
          <w:szCs w:val="21"/>
        </w:rPr>
        <w:t>网上获取。投标人初次登记的，应首先办理CA数字证书，登录河南省公共资源交易中心网站-市场主体系统注册用户名及密码；办理CA数字证书后，办理市场主体信息库登记；凡有意参加投标者，请完成市场主体信息库登记后，于采购文件获取期限内登录“河南省公共资源交易中心（http://hnsggzyjy.henan.gov.cn/）”网，凭领取的企业身份认证锁（CA密钥）并按网上提示自行下载采购文件及资料。</w:t>
      </w:r>
      <w:bookmarkEnd w:id="49"/>
    </w:p>
    <w:p w14:paraId="2AED6226">
      <w:pPr>
        <w:pStyle w:val="20"/>
        <w:widowControl/>
        <w:wordWrap w:val="0"/>
        <w:spacing w:before="0" w:beforeAutospacing="0" w:after="0" w:afterAutospacing="0" w:line="360" w:lineRule="auto"/>
        <w:ind w:firstLine="420" w:firstLineChars="200"/>
        <w:rPr>
          <w:rFonts w:hint="eastAsia" w:cs="宋体"/>
          <w:sz w:val="21"/>
          <w:szCs w:val="21"/>
        </w:rPr>
      </w:pPr>
      <w:r>
        <w:rPr>
          <w:rFonts w:hint="eastAsia" w:cs="宋体"/>
          <w:sz w:val="21"/>
          <w:szCs w:val="21"/>
        </w:rPr>
        <w:t>4、售价：0元</w:t>
      </w:r>
    </w:p>
    <w:p w14:paraId="6FDB27D0">
      <w:pPr>
        <w:pStyle w:val="3"/>
        <w:keepNext w:val="0"/>
        <w:keepLines w:val="0"/>
        <w:widowControl/>
        <w:rPr>
          <w:rFonts w:hint="eastAsia" w:ascii="宋体" w:hAnsi="宋体"/>
          <w:bCs/>
          <w:sz w:val="21"/>
          <w:szCs w:val="21"/>
        </w:rPr>
      </w:pPr>
      <w:bookmarkStart w:id="50" w:name="_Toc15111"/>
      <w:bookmarkStart w:id="51" w:name="_Toc25869"/>
      <w:bookmarkStart w:id="52" w:name="_Toc24587"/>
      <w:bookmarkStart w:id="53" w:name="_Toc4886"/>
      <w:bookmarkStart w:id="54" w:name="_Toc10738"/>
      <w:bookmarkStart w:id="55" w:name="_Toc16593"/>
      <w:bookmarkStart w:id="56" w:name="_Toc27480"/>
      <w:bookmarkStart w:id="57" w:name="_Toc15135"/>
      <w:r>
        <w:rPr>
          <w:rFonts w:hint="eastAsia" w:ascii="宋体" w:hAnsi="宋体"/>
          <w:bCs/>
          <w:sz w:val="21"/>
          <w:szCs w:val="21"/>
          <w:shd w:val="clear" w:color="auto" w:fill="FFFFFF"/>
        </w:rPr>
        <w:t>四、投标截止时间及地点</w:t>
      </w:r>
      <w:bookmarkEnd w:id="50"/>
      <w:bookmarkEnd w:id="51"/>
      <w:bookmarkEnd w:id="52"/>
      <w:bookmarkEnd w:id="53"/>
      <w:bookmarkEnd w:id="54"/>
      <w:bookmarkEnd w:id="55"/>
      <w:bookmarkEnd w:id="56"/>
      <w:bookmarkEnd w:id="57"/>
    </w:p>
    <w:p w14:paraId="459358DD">
      <w:pPr>
        <w:pStyle w:val="20"/>
        <w:widowControl/>
        <w:spacing w:before="0" w:beforeAutospacing="0" w:after="0" w:afterAutospacing="0" w:line="360" w:lineRule="auto"/>
        <w:ind w:firstLine="420" w:firstLineChars="200"/>
        <w:rPr>
          <w:rFonts w:hint="eastAsia" w:cs="宋体"/>
          <w:sz w:val="21"/>
          <w:szCs w:val="21"/>
        </w:rPr>
      </w:pPr>
      <w:r>
        <w:rPr>
          <w:rFonts w:hint="eastAsia" w:cs="宋体"/>
          <w:sz w:val="21"/>
          <w:szCs w:val="21"/>
        </w:rPr>
        <w:t>1、时间：</w:t>
      </w:r>
      <w:bookmarkStart w:id="58" w:name="OLE_LINK20"/>
      <w:r>
        <w:rPr>
          <w:rFonts w:hint="eastAsia" w:cs="宋体"/>
          <w:sz w:val="21"/>
          <w:szCs w:val="21"/>
        </w:rPr>
        <w:t>2025年</w:t>
      </w:r>
      <w:r>
        <w:rPr>
          <w:rFonts w:hint="eastAsia" w:cs="宋体"/>
          <w:sz w:val="21"/>
          <w:szCs w:val="21"/>
          <w:lang w:val="en-US" w:eastAsia="zh-CN"/>
        </w:rPr>
        <w:t>09</w:t>
      </w:r>
      <w:r>
        <w:rPr>
          <w:rFonts w:hint="eastAsia" w:cs="宋体"/>
          <w:sz w:val="21"/>
          <w:szCs w:val="21"/>
        </w:rPr>
        <w:t>月</w:t>
      </w:r>
      <w:r>
        <w:rPr>
          <w:rFonts w:hint="eastAsia" w:cs="宋体"/>
          <w:sz w:val="21"/>
          <w:szCs w:val="21"/>
          <w:lang w:val="en-US" w:eastAsia="zh-CN"/>
        </w:rPr>
        <w:t>22</w:t>
      </w:r>
      <w:r>
        <w:rPr>
          <w:rFonts w:hint="eastAsia" w:cs="宋体"/>
          <w:sz w:val="21"/>
          <w:szCs w:val="21"/>
        </w:rPr>
        <w:t>日09时00分</w:t>
      </w:r>
      <w:bookmarkEnd w:id="58"/>
      <w:r>
        <w:rPr>
          <w:rFonts w:hint="eastAsia" w:cs="宋体"/>
          <w:sz w:val="21"/>
          <w:szCs w:val="21"/>
        </w:rPr>
        <w:t>（北京时间）</w:t>
      </w:r>
    </w:p>
    <w:p w14:paraId="40C4EB54">
      <w:pPr>
        <w:pStyle w:val="20"/>
        <w:widowControl/>
        <w:spacing w:before="0" w:beforeAutospacing="0" w:after="0" w:afterAutospacing="0" w:line="360" w:lineRule="auto"/>
        <w:ind w:firstLine="420" w:firstLineChars="200"/>
        <w:rPr>
          <w:rFonts w:hint="eastAsia" w:cs="宋体"/>
          <w:sz w:val="21"/>
          <w:szCs w:val="21"/>
        </w:rPr>
      </w:pPr>
      <w:r>
        <w:rPr>
          <w:rFonts w:hint="eastAsia" w:cs="宋体"/>
          <w:sz w:val="21"/>
          <w:szCs w:val="21"/>
        </w:rPr>
        <w:t>2、地点：</w:t>
      </w:r>
      <w:bookmarkStart w:id="59" w:name="OLE_LINK53"/>
      <w:r>
        <w:rPr>
          <w:rFonts w:hint="eastAsia" w:cs="宋体"/>
          <w:sz w:val="21"/>
          <w:szCs w:val="21"/>
        </w:rPr>
        <w:t>加密电子投标文件须在投标截止时间前通过“河南省公共资源交易中心（http://hnsggzyjy.henan.gov.cn/）”系统指定位置上传。逾期上传的或者未上传指定地点的投标文件，采购人不予受理。</w:t>
      </w:r>
      <w:bookmarkEnd w:id="59"/>
    </w:p>
    <w:p w14:paraId="5D84D592">
      <w:pPr>
        <w:pStyle w:val="3"/>
        <w:keepNext w:val="0"/>
        <w:keepLines w:val="0"/>
        <w:widowControl/>
        <w:rPr>
          <w:rFonts w:hint="eastAsia" w:ascii="宋体" w:hAnsi="宋体"/>
          <w:bCs/>
          <w:sz w:val="21"/>
          <w:szCs w:val="21"/>
        </w:rPr>
      </w:pPr>
      <w:bookmarkStart w:id="60" w:name="_Toc27882"/>
      <w:bookmarkStart w:id="61" w:name="_Toc20992"/>
      <w:bookmarkStart w:id="62" w:name="_Toc27284"/>
      <w:bookmarkStart w:id="63" w:name="_Toc11679"/>
      <w:bookmarkStart w:id="64" w:name="_Toc18536"/>
      <w:bookmarkStart w:id="65" w:name="_Toc23175"/>
      <w:bookmarkStart w:id="66" w:name="_Toc25562"/>
      <w:bookmarkStart w:id="67" w:name="_Toc32183"/>
      <w:r>
        <w:rPr>
          <w:rFonts w:hint="eastAsia" w:ascii="宋体" w:hAnsi="宋体"/>
          <w:bCs/>
          <w:sz w:val="21"/>
          <w:szCs w:val="21"/>
          <w:shd w:val="clear" w:color="auto" w:fill="FFFFFF"/>
        </w:rPr>
        <w:t>五、开标时间及地点</w:t>
      </w:r>
      <w:bookmarkEnd w:id="60"/>
      <w:bookmarkEnd w:id="61"/>
      <w:bookmarkEnd w:id="62"/>
      <w:bookmarkEnd w:id="63"/>
      <w:bookmarkEnd w:id="64"/>
      <w:bookmarkEnd w:id="65"/>
      <w:bookmarkEnd w:id="66"/>
      <w:bookmarkEnd w:id="67"/>
    </w:p>
    <w:p w14:paraId="4C023CFF">
      <w:pPr>
        <w:pStyle w:val="20"/>
        <w:widowControl/>
        <w:spacing w:before="0" w:beforeAutospacing="0" w:after="0" w:afterAutospacing="0" w:line="360" w:lineRule="auto"/>
        <w:ind w:firstLine="420" w:firstLineChars="200"/>
        <w:rPr>
          <w:rFonts w:hint="eastAsia" w:cs="宋体"/>
          <w:sz w:val="21"/>
          <w:szCs w:val="21"/>
        </w:rPr>
      </w:pPr>
      <w:r>
        <w:rPr>
          <w:rFonts w:hint="eastAsia" w:cs="宋体"/>
          <w:sz w:val="21"/>
          <w:szCs w:val="21"/>
        </w:rPr>
        <w:t>1、时间：2025年</w:t>
      </w:r>
      <w:r>
        <w:rPr>
          <w:rFonts w:hint="eastAsia" w:cs="宋体"/>
          <w:sz w:val="21"/>
          <w:szCs w:val="21"/>
          <w:lang w:val="en-US" w:eastAsia="zh-CN"/>
        </w:rPr>
        <w:t>09</w:t>
      </w:r>
      <w:r>
        <w:rPr>
          <w:rFonts w:hint="eastAsia" w:cs="宋体"/>
          <w:sz w:val="21"/>
          <w:szCs w:val="21"/>
        </w:rPr>
        <w:t>月</w:t>
      </w:r>
      <w:r>
        <w:rPr>
          <w:rFonts w:hint="eastAsia" w:cs="宋体"/>
          <w:sz w:val="21"/>
          <w:szCs w:val="21"/>
          <w:lang w:val="en-US" w:eastAsia="zh-CN"/>
        </w:rPr>
        <w:t>22</w:t>
      </w:r>
      <w:r>
        <w:rPr>
          <w:rFonts w:hint="eastAsia" w:cs="宋体"/>
          <w:sz w:val="21"/>
          <w:szCs w:val="21"/>
        </w:rPr>
        <w:t>日09时00分（北京时间）</w:t>
      </w:r>
    </w:p>
    <w:p w14:paraId="0CEADF40">
      <w:pPr>
        <w:pStyle w:val="20"/>
        <w:widowControl/>
        <w:spacing w:before="0" w:beforeAutospacing="0" w:after="0" w:afterAutospacing="0" w:line="360" w:lineRule="auto"/>
        <w:ind w:firstLine="420" w:firstLineChars="200"/>
        <w:rPr>
          <w:rFonts w:hint="eastAsia" w:cs="宋体"/>
          <w:sz w:val="21"/>
          <w:szCs w:val="21"/>
        </w:rPr>
      </w:pPr>
      <w:r>
        <w:rPr>
          <w:rFonts w:hint="eastAsia" w:cs="宋体"/>
          <w:sz w:val="21"/>
          <w:szCs w:val="21"/>
        </w:rPr>
        <w:t>2、地点：</w:t>
      </w:r>
      <w:bookmarkStart w:id="68" w:name="OLE_LINK54"/>
      <w:r>
        <w:rPr>
          <w:rFonts w:hint="eastAsia" w:cs="宋体"/>
          <w:sz w:val="21"/>
          <w:szCs w:val="21"/>
        </w:rPr>
        <w:t>河南省公共资源交易中心远程开标室(</w:t>
      </w:r>
      <w:r>
        <w:rPr>
          <w:rFonts w:hint="eastAsia" w:cs="宋体"/>
          <w:sz w:val="21"/>
          <w:szCs w:val="21"/>
          <w:lang w:val="en-US" w:eastAsia="zh-CN"/>
        </w:rPr>
        <w:t>一</w:t>
      </w:r>
      <w:r>
        <w:rPr>
          <w:rFonts w:hint="eastAsia" w:cs="宋体"/>
          <w:sz w:val="21"/>
          <w:szCs w:val="21"/>
        </w:rPr>
        <w:t xml:space="preserve">)- </w:t>
      </w:r>
      <w:r>
        <w:rPr>
          <w:rFonts w:hint="eastAsia" w:cs="宋体"/>
          <w:sz w:val="21"/>
          <w:szCs w:val="21"/>
          <w:lang w:val="en-US" w:eastAsia="zh-CN"/>
        </w:rPr>
        <w:t>5</w:t>
      </w:r>
      <w:r>
        <w:rPr>
          <w:rFonts w:hint="eastAsia" w:cs="宋体"/>
          <w:sz w:val="21"/>
          <w:szCs w:val="21"/>
        </w:rPr>
        <w:t>（郑州市经二路12号（经二路与纬四路向南50米路西）。</w:t>
      </w:r>
      <w:bookmarkEnd w:id="68"/>
    </w:p>
    <w:p w14:paraId="29836135">
      <w:pPr>
        <w:pStyle w:val="3"/>
        <w:keepNext w:val="0"/>
        <w:keepLines w:val="0"/>
        <w:widowControl/>
        <w:rPr>
          <w:rFonts w:hint="eastAsia" w:ascii="宋体" w:hAnsi="宋体"/>
          <w:bCs/>
          <w:sz w:val="21"/>
          <w:szCs w:val="21"/>
        </w:rPr>
      </w:pPr>
      <w:bookmarkStart w:id="69" w:name="_Toc20287"/>
      <w:bookmarkStart w:id="70" w:name="_Toc30918"/>
      <w:bookmarkStart w:id="71" w:name="_Toc6523"/>
      <w:bookmarkStart w:id="72" w:name="_Toc5133"/>
      <w:bookmarkStart w:id="73" w:name="_Toc26227"/>
      <w:bookmarkStart w:id="74" w:name="_Toc29784"/>
      <w:bookmarkStart w:id="75" w:name="_Toc29119"/>
      <w:bookmarkStart w:id="76" w:name="_Toc16669"/>
      <w:r>
        <w:rPr>
          <w:rFonts w:hint="eastAsia" w:ascii="宋体" w:hAnsi="宋体"/>
          <w:bCs/>
          <w:sz w:val="21"/>
          <w:szCs w:val="21"/>
          <w:shd w:val="clear" w:color="auto" w:fill="FFFFFF"/>
        </w:rPr>
        <w:t>六、发布公告的媒介及招标公告期限</w:t>
      </w:r>
      <w:bookmarkEnd w:id="69"/>
      <w:bookmarkEnd w:id="70"/>
      <w:bookmarkEnd w:id="71"/>
      <w:bookmarkEnd w:id="72"/>
      <w:bookmarkEnd w:id="73"/>
      <w:bookmarkEnd w:id="74"/>
      <w:bookmarkEnd w:id="75"/>
      <w:bookmarkEnd w:id="76"/>
    </w:p>
    <w:p w14:paraId="3035089E">
      <w:pPr>
        <w:pStyle w:val="20"/>
        <w:widowControl/>
        <w:spacing w:before="0" w:beforeAutospacing="0" w:after="0" w:afterAutospacing="0" w:line="360" w:lineRule="auto"/>
        <w:ind w:firstLine="420" w:firstLineChars="200"/>
        <w:rPr>
          <w:rFonts w:hint="eastAsia" w:cs="宋体"/>
          <w:sz w:val="21"/>
          <w:szCs w:val="21"/>
          <w:shd w:val="clear" w:color="auto" w:fill="FFFFFF"/>
        </w:rPr>
      </w:pPr>
      <w:r>
        <w:rPr>
          <w:rFonts w:hint="eastAsia" w:cs="宋体"/>
          <w:sz w:val="21"/>
          <w:szCs w:val="21"/>
          <w:shd w:val="clear" w:color="auto" w:fill="FFFFFF"/>
        </w:rPr>
        <w:t>本次招标公告在《河南省政府采购网》</w:t>
      </w:r>
      <w:bookmarkStart w:id="77" w:name="OLE_LINK55"/>
      <w:r>
        <w:rPr>
          <w:rFonts w:hint="eastAsia" w:cs="宋体"/>
          <w:sz w:val="21"/>
          <w:szCs w:val="21"/>
          <w:shd w:val="clear" w:color="auto" w:fill="FFFFFF"/>
        </w:rPr>
        <w:t>《中国政府采购网》《河南省公共资源交易中心网》</w:t>
      </w:r>
      <w:bookmarkEnd w:id="77"/>
      <w:r>
        <w:rPr>
          <w:rFonts w:hint="eastAsia" w:cs="宋体"/>
          <w:sz w:val="21"/>
          <w:szCs w:val="21"/>
          <w:shd w:val="clear" w:color="auto" w:fill="FFFFFF"/>
        </w:rPr>
        <w:t>上发布，招标公告期限为五个工作日</w:t>
      </w:r>
      <w:bookmarkStart w:id="78" w:name="_Toc35393626"/>
      <w:bookmarkStart w:id="79" w:name="_Toc35393795"/>
      <w:r>
        <w:rPr>
          <w:rFonts w:hint="eastAsia" w:cs="宋体"/>
          <w:sz w:val="21"/>
          <w:szCs w:val="21"/>
          <w:shd w:val="clear" w:color="auto" w:fill="FFFFFF"/>
        </w:rPr>
        <w:t>。</w:t>
      </w:r>
    </w:p>
    <w:p w14:paraId="7D98717B">
      <w:pPr>
        <w:pStyle w:val="3"/>
        <w:keepNext w:val="0"/>
        <w:keepLines w:val="0"/>
        <w:widowControl/>
        <w:rPr>
          <w:rFonts w:hint="eastAsia" w:ascii="宋体" w:hAnsi="宋体"/>
          <w:bCs/>
          <w:sz w:val="21"/>
          <w:szCs w:val="21"/>
          <w:shd w:val="clear" w:color="auto" w:fill="FFFFFF"/>
        </w:rPr>
      </w:pPr>
      <w:bookmarkStart w:id="80" w:name="_Toc21264"/>
      <w:bookmarkStart w:id="81" w:name="_Toc9840"/>
      <w:bookmarkStart w:id="82" w:name="_Toc23341"/>
      <w:r>
        <w:rPr>
          <w:rFonts w:hint="eastAsia" w:ascii="宋体" w:hAnsi="宋体"/>
          <w:bCs/>
          <w:sz w:val="21"/>
          <w:szCs w:val="21"/>
          <w:shd w:val="clear" w:color="auto" w:fill="FFFFFF"/>
        </w:rPr>
        <w:t>七、其他补充事宜</w:t>
      </w:r>
      <w:bookmarkEnd w:id="78"/>
      <w:bookmarkEnd w:id="79"/>
      <w:bookmarkEnd w:id="80"/>
      <w:bookmarkEnd w:id="81"/>
      <w:bookmarkEnd w:id="82"/>
    </w:p>
    <w:p w14:paraId="5C4684F3">
      <w:pPr>
        <w:widowControl/>
        <w:tabs>
          <w:tab w:val="left" w:pos="840"/>
        </w:tabs>
        <w:spacing w:line="360" w:lineRule="auto"/>
        <w:ind w:firstLine="420" w:firstLineChars="200"/>
        <w:jc w:val="left"/>
        <w:rPr>
          <w:rFonts w:hint="eastAsia"/>
          <w:szCs w:val="21"/>
          <w:shd w:val="clear" w:color="auto" w:fill="FFFFFF"/>
        </w:rPr>
      </w:pPr>
      <w:bookmarkStart w:id="83" w:name="OLE_LINK56"/>
      <w:r>
        <w:rPr>
          <w:rFonts w:hint="eastAsia"/>
          <w:szCs w:val="21"/>
          <w:shd w:val="clear" w:color="auto" w:fill="FFFFFF"/>
        </w:rPr>
        <w:t>1、本项目需要落实的政府采购政策：促进中小企业发展、支持监狱企业发展、促进残疾人就业，强制采购节能产品、优先采购环境标志产品、优先采购国货、节约能源、保护环境、扶持不发达地区和少数民族地区等政府采购政策。</w:t>
      </w:r>
    </w:p>
    <w:p w14:paraId="1867557E">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2、投标截止时间前，</w:t>
      </w:r>
      <w:r>
        <w:rPr>
          <w:rFonts w:hint="eastAsia"/>
          <w:szCs w:val="21"/>
        </w:rPr>
        <w:t>投标人</w:t>
      </w:r>
      <w:r>
        <w:rPr>
          <w:rFonts w:hint="eastAsia"/>
          <w:szCs w:val="21"/>
          <w:shd w:val="clear" w:color="auto" w:fill="FFFFFF"/>
        </w:rPr>
        <w:t>在河南省公共资源交易中心网系统内进行网上上传投标文件。</w:t>
      </w:r>
    </w:p>
    <w:p w14:paraId="4F4775E0">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3、</w:t>
      </w:r>
      <w:r>
        <w:rPr>
          <w:rFonts w:hint="eastAsia"/>
          <w:szCs w:val="21"/>
        </w:rPr>
        <w:t>投标人</w:t>
      </w:r>
      <w:r>
        <w:rPr>
          <w:rFonts w:hint="eastAsia"/>
          <w:szCs w:val="21"/>
          <w:shd w:val="clear" w:color="auto" w:fill="FFFFFF"/>
        </w:rPr>
        <w:t>无需到现场，到开启时间，</w:t>
      </w:r>
      <w:r>
        <w:rPr>
          <w:rFonts w:hint="eastAsia"/>
          <w:szCs w:val="21"/>
        </w:rPr>
        <w:t>投标人</w:t>
      </w:r>
      <w:r>
        <w:rPr>
          <w:rFonts w:hint="eastAsia"/>
          <w:szCs w:val="21"/>
          <w:shd w:val="clear" w:color="auto" w:fill="FFFFFF"/>
        </w:rPr>
        <w:t>凭 CA 秘钥进入河南省公共资源交易中心系统平台，按提示进行响应文件的解密（详细流程见河南省公共资源交易中心网站-公共服务-办事指南-河南省公共资源交易平台不见面服务系统使用指南）。</w:t>
      </w:r>
    </w:p>
    <w:p w14:paraId="0381E793">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4、</w:t>
      </w:r>
      <w:r>
        <w:rPr>
          <w:rFonts w:hint="eastAsia"/>
          <w:szCs w:val="21"/>
        </w:rPr>
        <w:t>投标人</w:t>
      </w:r>
      <w:r>
        <w:rPr>
          <w:rFonts w:hint="eastAsia"/>
          <w:szCs w:val="21"/>
          <w:shd w:val="clear" w:color="auto" w:fill="FFFFFF"/>
        </w:rPr>
        <w:t>需要在投标截止时间前在河南省公共资源交易中心交易系统中将加密电子投标文件加密上传。本项目采用“远程不见面”开标方式，远程开标大厅网址为（</w:t>
      </w:r>
      <w:bookmarkStart w:id="84" w:name="OLE_LINK35"/>
      <w:r>
        <w:rPr>
          <w:rFonts w:hint="eastAsia"/>
          <w:szCs w:val="21"/>
          <w:shd w:val="clear" w:color="auto" w:fill="FFFFFF"/>
        </w:rPr>
        <w:t>http://hnsggzyjy.henan.gov.cn//BidOpening/bidopeninghallaction/hall/login</w:t>
      </w:r>
      <w:bookmarkEnd w:id="84"/>
      <w:r>
        <w:rPr>
          <w:rFonts w:hint="eastAsia"/>
          <w:szCs w:val="21"/>
          <w:shd w:val="clear" w:color="auto" w:fill="FFFFFF"/>
        </w:rPr>
        <w:t>），</w:t>
      </w:r>
      <w:r>
        <w:rPr>
          <w:rFonts w:hint="eastAsia"/>
          <w:szCs w:val="21"/>
        </w:rPr>
        <w:t>投标人</w:t>
      </w:r>
      <w:r>
        <w:rPr>
          <w:rFonts w:hint="eastAsia"/>
          <w:szCs w:val="21"/>
          <w:shd w:val="clear" w:color="auto" w:fill="FFFFFF"/>
        </w:rPr>
        <w:t>无需到河南省公共资源交易中心现场参加开标会议。</w:t>
      </w:r>
      <w:r>
        <w:rPr>
          <w:rFonts w:hint="eastAsia"/>
          <w:szCs w:val="21"/>
        </w:rPr>
        <w:t>投标人</w:t>
      </w:r>
      <w:r>
        <w:rPr>
          <w:rFonts w:hint="eastAsia"/>
          <w:szCs w:val="21"/>
          <w:shd w:val="clear" w:color="auto" w:fill="FFFFFF"/>
        </w:rPr>
        <w:t>应当在投标截止时间前，登录远程开标大厅，在线准时参加开标活动并进行文件解密、答疑澄清等。在规定时间内投标文件未解密的</w:t>
      </w:r>
      <w:r>
        <w:rPr>
          <w:rFonts w:hint="eastAsia"/>
          <w:szCs w:val="21"/>
        </w:rPr>
        <w:t>投标人</w:t>
      </w:r>
      <w:r>
        <w:rPr>
          <w:rFonts w:hint="eastAsia"/>
          <w:szCs w:val="21"/>
          <w:shd w:val="clear" w:color="auto" w:fill="FFFFFF"/>
        </w:rPr>
        <w:t>，视为放弃投标。</w:t>
      </w:r>
    </w:p>
    <w:p w14:paraId="299D93AC">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5、</w:t>
      </w:r>
      <w:bookmarkStart w:id="85" w:name="OLE_LINK103"/>
      <w:r>
        <w:rPr>
          <w:rFonts w:hint="eastAsia"/>
          <w:szCs w:val="21"/>
          <w:shd w:val="clear" w:color="auto" w:fill="FFFFFF"/>
        </w:rPr>
        <w:t>具体参照河南省招标投标协会关于印发《河南省招标代理服务收费指导意见》（豫招协【2023】002号）中的服务招标收费标准，按照中标价收费由中标人一次性支付给采购代理机构代理服务费用。</w:t>
      </w:r>
      <w:bookmarkEnd w:id="83"/>
      <w:bookmarkEnd w:id="85"/>
    </w:p>
    <w:p w14:paraId="1D36F9D7">
      <w:pPr>
        <w:pStyle w:val="3"/>
        <w:keepNext w:val="0"/>
        <w:keepLines w:val="0"/>
        <w:widowControl/>
        <w:rPr>
          <w:rFonts w:hint="eastAsia" w:ascii="宋体" w:hAnsi="宋体"/>
          <w:bCs/>
          <w:sz w:val="21"/>
          <w:szCs w:val="21"/>
        </w:rPr>
      </w:pPr>
      <w:bookmarkStart w:id="86" w:name="_Toc24274"/>
      <w:bookmarkStart w:id="87" w:name="_Toc3604"/>
      <w:bookmarkStart w:id="88" w:name="_Toc16291"/>
      <w:bookmarkStart w:id="89" w:name="_Toc27370"/>
      <w:bookmarkStart w:id="90" w:name="_Toc31928"/>
      <w:bookmarkStart w:id="91" w:name="_Toc27261"/>
      <w:bookmarkStart w:id="92" w:name="_Toc24493"/>
      <w:bookmarkStart w:id="93" w:name="_Toc11897"/>
      <w:r>
        <w:rPr>
          <w:rFonts w:hint="eastAsia" w:ascii="宋体" w:hAnsi="宋体"/>
          <w:bCs/>
          <w:sz w:val="21"/>
          <w:szCs w:val="21"/>
          <w:shd w:val="clear" w:color="auto" w:fill="FFFFFF"/>
        </w:rPr>
        <w:t>八、</w:t>
      </w:r>
      <w:bookmarkEnd w:id="86"/>
      <w:bookmarkEnd w:id="87"/>
      <w:bookmarkEnd w:id="88"/>
      <w:bookmarkEnd w:id="89"/>
      <w:bookmarkEnd w:id="90"/>
      <w:r>
        <w:rPr>
          <w:rFonts w:hint="eastAsia" w:ascii="宋体" w:hAnsi="宋体"/>
          <w:bCs/>
          <w:sz w:val="21"/>
          <w:szCs w:val="21"/>
          <w:shd w:val="clear" w:color="auto" w:fill="FFFFFF"/>
        </w:rPr>
        <w:t>凡对本次招标提出询问，请按照以下方式联系</w:t>
      </w:r>
      <w:bookmarkEnd w:id="91"/>
      <w:bookmarkEnd w:id="92"/>
      <w:bookmarkEnd w:id="93"/>
    </w:p>
    <w:p w14:paraId="611B641A">
      <w:pPr>
        <w:spacing w:line="360" w:lineRule="auto"/>
        <w:ind w:firstLine="420" w:firstLineChars="200"/>
        <w:rPr>
          <w:rFonts w:hint="eastAsia"/>
        </w:rPr>
      </w:pPr>
      <w:r>
        <w:rPr>
          <w:rFonts w:hint="eastAsia"/>
        </w:rPr>
        <w:t xml:space="preserve">1、采购人信息 </w:t>
      </w:r>
    </w:p>
    <w:p w14:paraId="72DC1FB8">
      <w:pPr>
        <w:spacing w:line="360" w:lineRule="auto"/>
        <w:ind w:firstLine="420" w:firstLineChars="200"/>
        <w:rPr>
          <w:rFonts w:hint="eastAsia"/>
        </w:rPr>
      </w:pPr>
      <w:r>
        <w:rPr>
          <w:rFonts w:hint="eastAsia"/>
        </w:rPr>
        <w:t xml:space="preserve">名称：河南省地震局 </w:t>
      </w:r>
    </w:p>
    <w:p w14:paraId="01B9D3BA">
      <w:pPr>
        <w:spacing w:line="360" w:lineRule="auto"/>
        <w:ind w:firstLine="420" w:firstLineChars="200"/>
        <w:rPr>
          <w:rFonts w:hint="eastAsia"/>
        </w:rPr>
      </w:pPr>
      <w:r>
        <w:rPr>
          <w:rFonts w:hint="eastAsia"/>
        </w:rPr>
        <w:t>地址：</w:t>
      </w:r>
      <w:bookmarkStart w:id="94" w:name="OLE_LINK57"/>
      <w:r>
        <w:rPr>
          <w:rFonts w:hint="eastAsia"/>
        </w:rPr>
        <w:t>郑州市金水区正光路10号</w:t>
      </w:r>
      <w:bookmarkEnd w:id="94"/>
    </w:p>
    <w:p w14:paraId="50FC400A">
      <w:pPr>
        <w:spacing w:line="360" w:lineRule="auto"/>
        <w:ind w:firstLine="420" w:firstLineChars="200"/>
        <w:rPr>
          <w:rFonts w:hint="eastAsia"/>
        </w:rPr>
      </w:pPr>
      <w:r>
        <w:rPr>
          <w:rFonts w:hint="eastAsia"/>
        </w:rPr>
        <w:t>联系人</w:t>
      </w:r>
      <w:bookmarkStart w:id="95" w:name="OLE_LINK58"/>
      <w:r>
        <w:rPr>
          <w:rFonts w:hint="eastAsia"/>
        </w:rPr>
        <w:t xml:space="preserve">：张振坤 </w:t>
      </w:r>
      <w:bookmarkEnd w:id="95"/>
    </w:p>
    <w:p w14:paraId="7831A5AF">
      <w:pPr>
        <w:spacing w:line="360" w:lineRule="auto"/>
        <w:ind w:firstLine="420" w:firstLineChars="200"/>
        <w:rPr>
          <w:rFonts w:hint="eastAsia"/>
        </w:rPr>
      </w:pPr>
      <w:r>
        <w:rPr>
          <w:rFonts w:hint="eastAsia"/>
        </w:rPr>
        <w:t>联系方式：</w:t>
      </w:r>
      <w:bookmarkStart w:id="96" w:name="OLE_LINK59"/>
      <w:r>
        <w:rPr>
          <w:rFonts w:hint="eastAsia"/>
        </w:rPr>
        <w:t>0371-68109630</w:t>
      </w:r>
      <w:bookmarkEnd w:id="96"/>
    </w:p>
    <w:p w14:paraId="23AE2A8E">
      <w:pPr>
        <w:spacing w:line="360" w:lineRule="auto"/>
        <w:ind w:firstLine="420" w:firstLineChars="200"/>
        <w:rPr>
          <w:rFonts w:hint="eastAsia"/>
        </w:rPr>
      </w:pPr>
      <w:r>
        <w:rPr>
          <w:rFonts w:hint="eastAsia"/>
        </w:rPr>
        <w:t xml:space="preserve">2、采购代理机构信息 </w:t>
      </w:r>
    </w:p>
    <w:p w14:paraId="6BA3465A">
      <w:pPr>
        <w:spacing w:line="360" w:lineRule="auto"/>
        <w:ind w:firstLine="420" w:firstLineChars="200"/>
        <w:rPr>
          <w:rFonts w:hint="eastAsia"/>
        </w:rPr>
      </w:pPr>
      <w:r>
        <w:rPr>
          <w:rFonts w:hint="eastAsia"/>
        </w:rPr>
        <w:t xml:space="preserve">名称：中金泰富工程管理有限公司 </w:t>
      </w:r>
    </w:p>
    <w:p w14:paraId="71CED072">
      <w:pPr>
        <w:spacing w:line="360" w:lineRule="auto"/>
        <w:ind w:firstLine="420" w:firstLineChars="200"/>
        <w:rPr>
          <w:rFonts w:hint="eastAsia"/>
        </w:rPr>
      </w:pPr>
      <w:r>
        <w:rPr>
          <w:rFonts w:hint="eastAsia"/>
        </w:rPr>
        <w:t>地址：</w:t>
      </w:r>
      <w:bookmarkStart w:id="97" w:name="OLE_LINK44"/>
      <w:r>
        <w:rPr>
          <w:rFonts w:hint="eastAsia"/>
        </w:rPr>
        <w:t>郑州市经七路与红专路交叉口北200米路东中亨大厦7楼</w:t>
      </w:r>
      <w:bookmarkEnd w:id="97"/>
      <w:r>
        <w:rPr>
          <w:rFonts w:hint="eastAsia"/>
        </w:rPr>
        <w:t xml:space="preserve"> </w:t>
      </w:r>
    </w:p>
    <w:p w14:paraId="261F9908">
      <w:pPr>
        <w:spacing w:line="360" w:lineRule="auto"/>
        <w:ind w:firstLine="420" w:firstLineChars="200"/>
        <w:rPr>
          <w:rFonts w:hint="eastAsia"/>
        </w:rPr>
      </w:pPr>
      <w:r>
        <w:rPr>
          <w:rFonts w:hint="eastAsia"/>
        </w:rPr>
        <w:t>联系人：</w:t>
      </w:r>
      <w:bookmarkStart w:id="98" w:name="OLE_LINK60"/>
      <w:r>
        <w:rPr>
          <w:rFonts w:hint="eastAsia"/>
        </w:rPr>
        <w:t>郭肖肖、郭燕凌</w:t>
      </w:r>
      <w:bookmarkEnd w:id="98"/>
      <w:r>
        <w:rPr>
          <w:rFonts w:hint="eastAsia"/>
        </w:rPr>
        <w:t xml:space="preserve"> </w:t>
      </w:r>
    </w:p>
    <w:p w14:paraId="253E85E0">
      <w:pPr>
        <w:spacing w:line="360" w:lineRule="auto"/>
        <w:ind w:firstLine="420" w:firstLineChars="200"/>
        <w:rPr>
          <w:rFonts w:hint="eastAsia"/>
        </w:rPr>
      </w:pPr>
      <w:r>
        <w:rPr>
          <w:rFonts w:hint="eastAsia"/>
        </w:rPr>
        <w:t>联系方式：</w:t>
      </w:r>
      <w:bookmarkStart w:id="99" w:name="OLE_LINK46"/>
      <w:r>
        <w:rPr>
          <w:rFonts w:hint="eastAsia"/>
        </w:rPr>
        <w:t>0371-55022102</w:t>
      </w:r>
      <w:bookmarkEnd w:id="99"/>
      <w:r>
        <w:rPr>
          <w:rFonts w:hint="eastAsia"/>
        </w:rPr>
        <w:t xml:space="preserve"> </w:t>
      </w:r>
    </w:p>
    <w:p w14:paraId="6AA29E2A">
      <w:pPr>
        <w:spacing w:line="360" w:lineRule="auto"/>
        <w:ind w:firstLine="420" w:firstLineChars="200"/>
        <w:rPr>
          <w:rFonts w:hint="eastAsia"/>
        </w:rPr>
      </w:pPr>
      <w:r>
        <w:rPr>
          <w:rFonts w:hint="eastAsia"/>
        </w:rPr>
        <w:t xml:space="preserve">3、项目联系方式 </w:t>
      </w:r>
    </w:p>
    <w:p w14:paraId="7B9AAF82">
      <w:pPr>
        <w:spacing w:line="360" w:lineRule="auto"/>
        <w:ind w:firstLine="420" w:firstLineChars="200"/>
        <w:rPr>
          <w:rFonts w:hint="eastAsia"/>
        </w:rPr>
      </w:pPr>
      <w:r>
        <w:rPr>
          <w:rFonts w:hint="eastAsia"/>
        </w:rPr>
        <w:t xml:space="preserve">项目联系人：郭肖肖、郭燕凌 </w:t>
      </w:r>
    </w:p>
    <w:p w14:paraId="784C10E6">
      <w:pPr>
        <w:spacing w:line="360" w:lineRule="auto"/>
        <w:ind w:firstLine="420" w:firstLineChars="200"/>
        <w:rPr>
          <w:rFonts w:hint="eastAsia"/>
        </w:rPr>
        <w:sectPr>
          <w:footerReference r:id="rId11" w:type="default"/>
          <w:pgSz w:w="11906" w:h="16838"/>
          <w:pgMar w:top="1417" w:right="1417" w:bottom="1417" w:left="1417" w:header="777" w:footer="641" w:gutter="0"/>
          <w:cols w:space="720" w:num="1"/>
          <w:docGrid w:linePitch="1" w:charSpace="0"/>
        </w:sectPr>
      </w:pPr>
      <w:r>
        <w:rPr>
          <w:rFonts w:hint="eastAsia"/>
        </w:rPr>
        <w:t>联系方式：0371-55022102</w:t>
      </w:r>
    </w:p>
    <w:p w14:paraId="19313F5E">
      <w:pPr>
        <w:spacing w:line="360" w:lineRule="auto"/>
        <w:rPr>
          <w:rFonts w:hint="eastAsia"/>
        </w:rPr>
      </w:pPr>
    </w:p>
    <w:bookmarkEnd w:id="8"/>
    <w:p w14:paraId="1158BDB6">
      <w:pPr>
        <w:numPr>
          <w:ilvl w:val="0"/>
          <w:numId w:val="1"/>
        </w:numPr>
        <w:spacing w:line="360" w:lineRule="auto"/>
        <w:jc w:val="center"/>
        <w:outlineLvl w:val="0"/>
        <w:rPr>
          <w:rStyle w:val="30"/>
          <w:rFonts w:hint="eastAsia" w:ascii="宋体" w:hAnsi="宋体"/>
        </w:rPr>
      </w:pPr>
      <w:bookmarkStart w:id="100" w:name="_Toc26643"/>
      <w:bookmarkStart w:id="101" w:name="_Toc32570"/>
      <w:bookmarkStart w:id="102" w:name="_Toc3567"/>
      <w:bookmarkStart w:id="103" w:name="_Toc25086"/>
      <w:r>
        <w:rPr>
          <w:rStyle w:val="30"/>
          <w:rFonts w:hint="eastAsia" w:ascii="宋体" w:hAnsi="宋体"/>
        </w:rPr>
        <w:t>投标人须知</w:t>
      </w:r>
      <w:bookmarkEnd w:id="100"/>
      <w:bookmarkEnd w:id="101"/>
      <w:bookmarkEnd w:id="102"/>
      <w:bookmarkEnd w:id="103"/>
    </w:p>
    <w:p w14:paraId="1472AA50">
      <w:pPr>
        <w:pStyle w:val="3"/>
        <w:jc w:val="center"/>
        <w:rPr>
          <w:rStyle w:val="30"/>
          <w:rFonts w:hint="eastAsia" w:ascii="宋体" w:hAnsi="宋体"/>
          <w:b/>
          <w:sz w:val="24"/>
          <w:szCs w:val="24"/>
        </w:rPr>
      </w:pPr>
      <w:bookmarkStart w:id="104" w:name="_Toc2328"/>
      <w:bookmarkStart w:id="105" w:name="_Toc23180"/>
      <w:bookmarkStart w:id="106" w:name="_Toc2805"/>
      <w:bookmarkStart w:id="107" w:name="_Toc12544"/>
      <w:bookmarkStart w:id="108" w:name="_Toc27372"/>
      <w:bookmarkStart w:id="109" w:name="_Toc22007"/>
      <w:r>
        <w:rPr>
          <w:rStyle w:val="30"/>
          <w:rFonts w:hint="eastAsia" w:ascii="宋体" w:hAnsi="宋体"/>
          <w:b/>
          <w:sz w:val="24"/>
          <w:szCs w:val="24"/>
        </w:rPr>
        <w:t>投标人须知前附表</w:t>
      </w:r>
      <w:bookmarkEnd w:id="104"/>
      <w:bookmarkEnd w:id="105"/>
      <w:bookmarkEnd w:id="106"/>
      <w:bookmarkEnd w:id="107"/>
      <w:bookmarkEnd w:id="108"/>
    </w:p>
    <w:bookmarkEnd w:id="109"/>
    <w:tbl>
      <w:tblPr>
        <w:tblStyle w:val="2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808"/>
        <w:gridCol w:w="6655"/>
      </w:tblGrid>
      <w:tr w14:paraId="7B0C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0DFC8593">
            <w:pPr>
              <w:spacing w:line="360" w:lineRule="auto"/>
              <w:ind w:left="38" w:leftChars="18"/>
              <w:jc w:val="center"/>
              <w:rPr>
                <w:rFonts w:hint="eastAsia"/>
                <w:b/>
                <w:bCs/>
                <w:szCs w:val="21"/>
              </w:rPr>
            </w:pPr>
            <w:r>
              <w:rPr>
                <w:rFonts w:hint="eastAsia"/>
                <w:b/>
                <w:bCs/>
                <w:szCs w:val="21"/>
              </w:rPr>
              <w:t>条款号</w:t>
            </w:r>
          </w:p>
        </w:tc>
        <w:tc>
          <w:tcPr>
            <w:tcW w:w="1808" w:type="dxa"/>
            <w:vAlign w:val="center"/>
          </w:tcPr>
          <w:p w14:paraId="2B9D08F5">
            <w:pPr>
              <w:spacing w:line="360" w:lineRule="auto"/>
              <w:ind w:left="38" w:leftChars="18"/>
              <w:jc w:val="center"/>
              <w:rPr>
                <w:rFonts w:hint="eastAsia"/>
                <w:b/>
                <w:bCs/>
                <w:szCs w:val="21"/>
              </w:rPr>
            </w:pPr>
            <w:r>
              <w:rPr>
                <w:rFonts w:hint="eastAsia"/>
                <w:b/>
                <w:bCs/>
                <w:szCs w:val="21"/>
              </w:rPr>
              <w:t>条款名称</w:t>
            </w:r>
          </w:p>
        </w:tc>
        <w:tc>
          <w:tcPr>
            <w:tcW w:w="6655" w:type="dxa"/>
            <w:vAlign w:val="center"/>
          </w:tcPr>
          <w:p w14:paraId="426D6D74">
            <w:pPr>
              <w:spacing w:line="360" w:lineRule="auto"/>
              <w:ind w:left="38" w:leftChars="18"/>
              <w:jc w:val="center"/>
              <w:rPr>
                <w:rFonts w:hint="eastAsia"/>
                <w:b/>
                <w:bCs/>
                <w:szCs w:val="21"/>
              </w:rPr>
            </w:pPr>
            <w:r>
              <w:rPr>
                <w:rFonts w:hint="eastAsia"/>
                <w:b/>
                <w:bCs/>
                <w:szCs w:val="21"/>
              </w:rPr>
              <w:t>编列内容</w:t>
            </w:r>
          </w:p>
        </w:tc>
      </w:tr>
      <w:tr w14:paraId="0F2F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37590716">
            <w:pPr>
              <w:spacing w:line="360" w:lineRule="auto"/>
              <w:ind w:left="38" w:leftChars="18"/>
              <w:jc w:val="center"/>
              <w:rPr>
                <w:rFonts w:hint="eastAsia"/>
                <w:szCs w:val="21"/>
              </w:rPr>
            </w:pPr>
            <w:r>
              <w:rPr>
                <w:rFonts w:hint="eastAsia"/>
                <w:szCs w:val="21"/>
              </w:rPr>
              <w:t>1.2.1</w:t>
            </w:r>
          </w:p>
        </w:tc>
        <w:tc>
          <w:tcPr>
            <w:tcW w:w="1808" w:type="dxa"/>
            <w:vAlign w:val="center"/>
          </w:tcPr>
          <w:p w14:paraId="6D71B912">
            <w:pPr>
              <w:spacing w:line="360" w:lineRule="auto"/>
              <w:ind w:left="38" w:leftChars="18"/>
              <w:jc w:val="center"/>
              <w:rPr>
                <w:rFonts w:hint="eastAsia"/>
                <w:szCs w:val="21"/>
              </w:rPr>
            </w:pPr>
            <w:r>
              <w:rPr>
                <w:rFonts w:hint="eastAsia"/>
                <w:szCs w:val="21"/>
              </w:rPr>
              <w:t>采购人</w:t>
            </w:r>
          </w:p>
        </w:tc>
        <w:tc>
          <w:tcPr>
            <w:tcW w:w="6655" w:type="dxa"/>
            <w:vAlign w:val="center"/>
          </w:tcPr>
          <w:p w14:paraId="3ED5DED3">
            <w:pPr>
              <w:spacing w:line="360" w:lineRule="auto"/>
              <w:ind w:left="38" w:leftChars="18"/>
              <w:rPr>
                <w:rFonts w:hint="eastAsia"/>
                <w:szCs w:val="21"/>
              </w:rPr>
            </w:pPr>
            <w:r>
              <w:rPr>
                <w:rFonts w:hint="eastAsia"/>
                <w:szCs w:val="21"/>
              </w:rPr>
              <w:t xml:space="preserve">名称：河南省地震局 </w:t>
            </w:r>
          </w:p>
          <w:p w14:paraId="2DD22516">
            <w:pPr>
              <w:spacing w:line="360" w:lineRule="auto"/>
              <w:ind w:left="38" w:leftChars="18"/>
              <w:rPr>
                <w:rFonts w:hint="eastAsia"/>
                <w:szCs w:val="21"/>
              </w:rPr>
            </w:pPr>
            <w:r>
              <w:rPr>
                <w:rFonts w:hint="eastAsia"/>
                <w:szCs w:val="21"/>
              </w:rPr>
              <w:t>地址：郑州市金水区正光路10号</w:t>
            </w:r>
          </w:p>
          <w:p w14:paraId="71E58E10">
            <w:pPr>
              <w:spacing w:line="360" w:lineRule="auto"/>
              <w:ind w:left="38" w:leftChars="18"/>
              <w:rPr>
                <w:rFonts w:hint="eastAsia"/>
                <w:szCs w:val="21"/>
              </w:rPr>
            </w:pPr>
            <w:r>
              <w:rPr>
                <w:rFonts w:hint="eastAsia"/>
                <w:szCs w:val="21"/>
              </w:rPr>
              <w:t>联系人：张振坤</w:t>
            </w:r>
          </w:p>
          <w:p w14:paraId="0E87EA2F">
            <w:pPr>
              <w:spacing w:line="360" w:lineRule="auto"/>
              <w:ind w:left="38" w:leftChars="18"/>
              <w:rPr>
                <w:rFonts w:hint="eastAsia"/>
                <w:szCs w:val="21"/>
              </w:rPr>
            </w:pPr>
            <w:r>
              <w:rPr>
                <w:rFonts w:hint="eastAsia"/>
                <w:szCs w:val="21"/>
              </w:rPr>
              <w:t xml:space="preserve">联系方式：0371-68109630  </w:t>
            </w:r>
          </w:p>
        </w:tc>
      </w:tr>
      <w:tr w14:paraId="7A9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3930CDE8">
            <w:pPr>
              <w:spacing w:line="360" w:lineRule="auto"/>
              <w:ind w:left="38" w:leftChars="18"/>
              <w:jc w:val="center"/>
              <w:rPr>
                <w:rFonts w:hint="eastAsia"/>
                <w:szCs w:val="21"/>
              </w:rPr>
            </w:pPr>
            <w:r>
              <w:rPr>
                <w:rFonts w:hint="eastAsia"/>
                <w:szCs w:val="21"/>
              </w:rPr>
              <w:t>1.2.2</w:t>
            </w:r>
          </w:p>
        </w:tc>
        <w:tc>
          <w:tcPr>
            <w:tcW w:w="1808" w:type="dxa"/>
            <w:vAlign w:val="center"/>
          </w:tcPr>
          <w:p w14:paraId="20582150">
            <w:pPr>
              <w:spacing w:line="360" w:lineRule="auto"/>
              <w:ind w:left="38" w:leftChars="18"/>
              <w:jc w:val="center"/>
              <w:rPr>
                <w:rFonts w:hint="eastAsia"/>
                <w:szCs w:val="21"/>
              </w:rPr>
            </w:pPr>
            <w:r>
              <w:rPr>
                <w:rFonts w:hint="eastAsia"/>
                <w:szCs w:val="21"/>
              </w:rPr>
              <w:t>采购代理机构</w:t>
            </w:r>
          </w:p>
        </w:tc>
        <w:tc>
          <w:tcPr>
            <w:tcW w:w="6655" w:type="dxa"/>
            <w:vAlign w:val="center"/>
          </w:tcPr>
          <w:p w14:paraId="7002C058">
            <w:pPr>
              <w:spacing w:line="360" w:lineRule="auto"/>
              <w:ind w:left="38" w:leftChars="18"/>
              <w:rPr>
                <w:rFonts w:hint="eastAsia"/>
                <w:szCs w:val="21"/>
              </w:rPr>
            </w:pPr>
            <w:r>
              <w:rPr>
                <w:rFonts w:hint="eastAsia"/>
                <w:szCs w:val="21"/>
              </w:rPr>
              <w:t xml:space="preserve">名称：中金泰富工程管理有限公司 </w:t>
            </w:r>
          </w:p>
          <w:p w14:paraId="3499D858">
            <w:pPr>
              <w:spacing w:line="360" w:lineRule="auto"/>
              <w:ind w:left="38" w:leftChars="18"/>
              <w:rPr>
                <w:rFonts w:hint="eastAsia"/>
                <w:szCs w:val="21"/>
              </w:rPr>
            </w:pPr>
            <w:r>
              <w:rPr>
                <w:rFonts w:hint="eastAsia"/>
                <w:szCs w:val="21"/>
              </w:rPr>
              <w:t xml:space="preserve">地址：郑州市经七路与红专路交叉口北200米路东中亨大厦7楼 </w:t>
            </w:r>
          </w:p>
          <w:p w14:paraId="0D0D82DC">
            <w:pPr>
              <w:spacing w:line="360" w:lineRule="auto"/>
              <w:ind w:left="38" w:leftChars="18"/>
              <w:rPr>
                <w:rFonts w:hint="eastAsia"/>
                <w:szCs w:val="21"/>
              </w:rPr>
            </w:pPr>
            <w:r>
              <w:rPr>
                <w:rFonts w:hint="eastAsia"/>
                <w:szCs w:val="21"/>
              </w:rPr>
              <w:t xml:space="preserve">联系人：郭肖肖、郭燕凌 </w:t>
            </w:r>
          </w:p>
          <w:p w14:paraId="5A61F20F">
            <w:pPr>
              <w:spacing w:line="360" w:lineRule="auto"/>
              <w:ind w:left="38" w:leftChars="18"/>
              <w:rPr>
                <w:rFonts w:hint="eastAsia"/>
                <w:szCs w:val="21"/>
              </w:rPr>
            </w:pPr>
            <w:r>
              <w:rPr>
                <w:rFonts w:hint="eastAsia"/>
                <w:szCs w:val="21"/>
              </w:rPr>
              <w:t>联系方式：0371-55022102</w:t>
            </w:r>
          </w:p>
        </w:tc>
      </w:tr>
      <w:tr w14:paraId="470E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31" w:type="dxa"/>
            <w:vAlign w:val="center"/>
          </w:tcPr>
          <w:p w14:paraId="04A3DF7C">
            <w:pPr>
              <w:spacing w:line="360" w:lineRule="auto"/>
              <w:ind w:left="38" w:leftChars="18"/>
              <w:jc w:val="center"/>
              <w:rPr>
                <w:rFonts w:hint="eastAsia"/>
                <w:szCs w:val="21"/>
              </w:rPr>
            </w:pPr>
            <w:r>
              <w:rPr>
                <w:rFonts w:hint="eastAsia"/>
                <w:szCs w:val="21"/>
              </w:rPr>
              <w:t>1.2.3</w:t>
            </w:r>
          </w:p>
        </w:tc>
        <w:tc>
          <w:tcPr>
            <w:tcW w:w="1808" w:type="dxa"/>
            <w:vAlign w:val="center"/>
          </w:tcPr>
          <w:p w14:paraId="1DC15903">
            <w:pPr>
              <w:spacing w:line="360" w:lineRule="auto"/>
              <w:ind w:left="38" w:leftChars="18"/>
              <w:jc w:val="center"/>
              <w:rPr>
                <w:rFonts w:hint="eastAsia"/>
                <w:szCs w:val="21"/>
              </w:rPr>
            </w:pPr>
            <w:r>
              <w:rPr>
                <w:rFonts w:hint="eastAsia"/>
                <w:szCs w:val="21"/>
              </w:rPr>
              <w:t>项目名称及项目编号</w:t>
            </w:r>
          </w:p>
        </w:tc>
        <w:tc>
          <w:tcPr>
            <w:tcW w:w="6655" w:type="dxa"/>
            <w:vAlign w:val="center"/>
          </w:tcPr>
          <w:p w14:paraId="1D808E13">
            <w:pPr>
              <w:spacing w:line="360" w:lineRule="auto"/>
              <w:rPr>
                <w:rFonts w:hint="eastAsia" w:eastAsia="宋体"/>
                <w:lang w:eastAsia="zh-CN"/>
              </w:rPr>
            </w:pPr>
            <w:r>
              <w:rPr>
                <w:rFonts w:hint="eastAsia"/>
              </w:rPr>
              <w:t>项目名称：</w:t>
            </w:r>
            <w:r>
              <w:rPr>
                <w:rFonts w:hint="eastAsia"/>
                <w:lang w:eastAsia="zh-CN"/>
              </w:rPr>
              <w:t>河南省地震局黄河流域（河南段）地震灾害风险防治工程——重大工程健康监测和诊断软硬件平台建设与集成项目采购项目</w:t>
            </w:r>
          </w:p>
          <w:p w14:paraId="67D73B67">
            <w:pPr>
              <w:spacing w:line="360" w:lineRule="auto"/>
              <w:rPr>
                <w:rFonts w:hint="eastAsia"/>
                <w:szCs w:val="21"/>
              </w:rPr>
            </w:pPr>
            <w:r>
              <w:rPr>
                <w:rFonts w:hint="eastAsia"/>
                <w:kern w:val="0"/>
                <w:szCs w:val="21"/>
              </w:rPr>
              <w:t>项目编号：</w:t>
            </w:r>
            <w:r>
              <w:rPr>
                <w:rFonts w:hint="eastAsia"/>
                <w:szCs w:val="21"/>
                <w:shd w:val="clear" w:color="auto" w:fill="FFFFFF"/>
              </w:rPr>
              <w:t>豫财招标采购-2025-1026</w:t>
            </w:r>
          </w:p>
        </w:tc>
      </w:tr>
      <w:tr w14:paraId="711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031" w:type="dxa"/>
            <w:vAlign w:val="center"/>
          </w:tcPr>
          <w:p w14:paraId="1D5D4F85">
            <w:pPr>
              <w:spacing w:line="360" w:lineRule="auto"/>
              <w:ind w:left="38" w:leftChars="18"/>
              <w:jc w:val="center"/>
              <w:rPr>
                <w:rFonts w:hint="eastAsia"/>
                <w:szCs w:val="21"/>
              </w:rPr>
            </w:pPr>
            <w:r>
              <w:rPr>
                <w:rFonts w:hint="eastAsia"/>
                <w:szCs w:val="21"/>
              </w:rPr>
              <w:t>1.2.4</w:t>
            </w:r>
          </w:p>
        </w:tc>
        <w:tc>
          <w:tcPr>
            <w:tcW w:w="1808" w:type="dxa"/>
            <w:vAlign w:val="center"/>
          </w:tcPr>
          <w:p w14:paraId="1FC05339">
            <w:pPr>
              <w:spacing w:line="360" w:lineRule="auto"/>
              <w:ind w:left="38" w:leftChars="18"/>
              <w:jc w:val="center"/>
              <w:rPr>
                <w:rFonts w:hint="eastAsia"/>
              </w:rPr>
            </w:pPr>
            <w:r>
              <w:rPr>
                <w:rFonts w:hint="eastAsia"/>
              </w:rPr>
              <w:t>服务内容</w:t>
            </w:r>
          </w:p>
        </w:tc>
        <w:tc>
          <w:tcPr>
            <w:tcW w:w="6655" w:type="dxa"/>
            <w:vAlign w:val="center"/>
          </w:tcPr>
          <w:p w14:paraId="30456423">
            <w:pPr>
              <w:spacing w:line="360" w:lineRule="auto"/>
              <w:jc w:val="left"/>
              <w:rPr>
                <w:rFonts w:hint="eastAsia"/>
              </w:rPr>
            </w:pPr>
            <w:r>
              <w:rPr>
                <w:rFonts w:hint="eastAsia"/>
                <w:szCs w:val="21"/>
                <w:shd w:val="clear" w:color="auto" w:fill="FFFFFF"/>
              </w:rPr>
              <w:t>本项目为</w:t>
            </w:r>
            <w:r>
              <w:rPr>
                <w:rFonts w:hint="eastAsia"/>
                <w:szCs w:val="21"/>
                <w:shd w:val="clear" w:color="auto" w:fill="FFFFFF"/>
                <w:lang w:eastAsia="zh-CN"/>
              </w:rPr>
              <w:t>河南省地震局黄河流域（河南段）地震灾害风险防治工程——重大工程健康监测和诊断软硬件平台建设与集成项目采购项目</w:t>
            </w:r>
            <w:r>
              <w:rPr>
                <w:rFonts w:hint="eastAsia"/>
                <w:szCs w:val="21"/>
                <w:shd w:val="clear" w:color="auto" w:fill="FFFFFF"/>
              </w:rPr>
              <w:t>，具体内容包括两部分内容，第一部分为重大工程地震安全在线监测与健康诊断平台建设，建设内容围绕重大工程地震安全在线监测与健康诊断信息平台、平台UI界面、系统数据库及监测数据分析等功能展开；第二部分为应用示范工程建设，具体建设内容包括小浪底水库大坝强震监测系统和濮阳白堽黄河公路大桥监测系统。</w:t>
            </w:r>
          </w:p>
        </w:tc>
      </w:tr>
      <w:tr w14:paraId="1264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593BE74E">
            <w:pPr>
              <w:spacing w:line="360" w:lineRule="auto"/>
              <w:ind w:left="38" w:leftChars="18"/>
              <w:jc w:val="center"/>
              <w:rPr>
                <w:rFonts w:hint="eastAsia"/>
                <w:szCs w:val="21"/>
              </w:rPr>
            </w:pPr>
            <w:r>
              <w:rPr>
                <w:rFonts w:hint="eastAsia"/>
                <w:szCs w:val="21"/>
              </w:rPr>
              <w:t>1.2.5</w:t>
            </w:r>
          </w:p>
        </w:tc>
        <w:tc>
          <w:tcPr>
            <w:tcW w:w="1808" w:type="dxa"/>
            <w:vAlign w:val="center"/>
          </w:tcPr>
          <w:p w14:paraId="6A258AC1">
            <w:pPr>
              <w:spacing w:line="360" w:lineRule="auto"/>
              <w:ind w:left="38" w:leftChars="18"/>
              <w:jc w:val="center"/>
              <w:rPr>
                <w:rFonts w:hint="eastAsia"/>
                <w:szCs w:val="21"/>
              </w:rPr>
            </w:pPr>
            <w:r>
              <w:rPr>
                <w:rFonts w:hint="eastAsia"/>
              </w:rPr>
              <w:t>资金来源及预算金额（最高投标限价）</w:t>
            </w:r>
          </w:p>
        </w:tc>
        <w:tc>
          <w:tcPr>
            <w:tcW w:w="6655" w:type="dxa"/>
            <w:vAlign w:val="center"/>
          </w:tcPr>
          <w:p w14:paraId="3D48EBC6">
            <w:pPr>
              <w:spacing w:line="360" w:lineRule="auto"/>
              <w:jc w:val="left"/>
              <w:rPr>
                <w:rFonts w:hint="eastAsia"/>
              </w:rPr>
            </w:pPr>
            <w:r>
              <w:rPr>
                <w:rFonts w:hint="eastAsia"/>
              </w:rPr>
              <w:t>资金来源：财政资金</w:t>
            </w:r>
          </w:p>
          <w:p w14:paraId="3189E6B8">
            <w:pPr>
              <w:spacing w:line="360" w:lineRule="auto"/>
              <w:jc w:val="left"/>
              <w:rPr>
                <w:rFonts w:hint="eastAsia"/>
                <w:szCs w:val="21"/>
              </w:rPr>
            </w:pPr>
            <w:r>
              <w:rPr>
                <w:rFonts w:hint="eastAsia"/>
              </w:rPr>
              <w:t>预算金额（最高投标限价）：</w:t>
            </w:r>
            <w:r>
              <w:rPr>
                <w:rFonts w:hint="eastAsia"/>
                <w:szCs w:val="21"/>
                <w:shd w:val="clear" w:color="auto" w:fill="FFFFFF"/>
              </w:rPr>
              <w:t>4320000</w:t>
            </w:r>
            <w:r>
              <w:rPr>
                <w:rFonts w:hint="eastAsia"/>
              </w:rPr>
              <w:t>元（最高限价</w:t>
            </w:r>
            <w:r>
              <w:rPr>
                <w:rFonts w:hint="eastAsia"/>
                <w:szCs w:val="21"/>
                <w:shd w:val="clear" w:color="auto" w:fill="FFFFFF"/>
              </w:rPr>
              <w:t>4320000</w:t>
            </w:r>
            <w:r>
              <w:rPr>
                <w:rFonts w:hint="eastAsia"/>
              </w:rPr>
              <w:t>元，投标人报价不得超过最高投标限价。否则视为无效投标）</w:t>
            </w:r>
          </w:p>
        </w:tc>
      </w:tr>
      <w:tr w14:paraId="5B4E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44205DB5">
            <w:pPr>
              <w:spacing w:line="360" w:lineRule="auto"/>
              <w:ind w:left="38" w:leftChars="18"/>
              <w:jc w:val="center"/>
              <w:rPr>
                <w:rFonts w:hint="eastAsia"/>
                <w:szCs w:val="21"/>
              </w:rPr>
            </w:pPr>
            <w:r>
              <w:rPr>
                <w:rFonts w:hint="eastAsia"/>
                <w:szCs w:val="21"/>
              </w:rPr>
              <w:t>1.2.6</w:t>
            </w:r>
          </w:p>
        </w:tc>
        <w:tc>
          <w:tcPr>
            <w:tcW w:w="1808" w:type="dxa"/>
            <w:vAlign w:val="center"/>
          </w:tcPr>
          <w:p w14:paraId="28B7C0B9">
            <w:pPr>
              <w:spacing w:line="360" w:lineRule="auto"/>
              <w:ind w:left="38" w:leftChars="18"/>
              <w:jc w:val="center"/>
              <w:rPr>
                <w:rFonts w:hint="eastAsia"/>
                <w:szCs w:val="21"/>
              </w:rPr>
            </w:pPr>
            <w:bookmarkStart w:id="110" w:name="OLE_LINK9"/>
            <w:r>
              <w:rPr>
                <w:rFonts w:hint="eastAsia"/>
                <w:szCs w:val="21"/>
              </w:rPr>
              <w:t>质保期</w:t>
            </w:r>
            <w:bookmarkEnd w:id="110"/>
          </w:p>
        </w:tc>
        <w:tc>
          <w:tcPr>
            <w:tcW w:w="6655" w:type="dxa"/>
            <w:vAlign w:val="center"/>
          </w:tcPr>
          <w:p w14:paraId="2C693620">
            <w:pPr>
              <w:spacing w:line="360" w:lineRule="auto"/>
              <w:jc w:val="left"/>
              <w:rPr>
                <w:rFonts w:hint="eastAsia"/>
                <w:szCs w:val="21"/>
              </w:rPr>
            </w:pPr>
            <w:r>
              <w:rPr>
                <w:rFonts w:hint="eastAsia"/>
                <w:szCs w:val="21"/>
              </w:rPr>
              <w:t>自验收合格之日起2年，提供软硬件平台维护服务和运行技术支持。</w:t>
            </w:r>
          </w:p>
        </w:tc>
      </w:tr>
      <w:tr w14:paraId="27D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629EF37F">
            <w:pPr>
              <w:spacing w:line="360" w:lineRule="auto"/>
              <w:ind w:left="38" w:leftChars="18"/>
              <w:jc w:val="center"/>
              <w:rPr>
                <w:rFonts w:hint="eastAsia"/>
                <w:szCs w:val="21"/>
              </w:rPr>
            </w:pPr>
            <w:r>
              <w:rPr>
                <w:rFonts w:hint="eastAsia"/>
                <w:szCs w:val="21"/>
              </w:rPr>
              <w:t>1.2.7</w:t>
            </w:r>
          </w:p>
        </w:tc>
        <w:tc>
          <w:tcPr>
            <w:tcW w:w="1808" w:type="dxa"/>
            <w:vAlign w:val="center"/>
          </w:tcPr>
          <w:p w14:paraId="06F04C92">
            <w:pPr>
              <w:spacing w:line="360" w:lineRule="auto"/>
              <w:ind w:left="38" w:leftChars="18"/>
              <w:jc w:val="center"/>
              <w:rPr>
                <w:rFonts w:hint="eastAsia"/>
                <w:szCs w:val="21"/>
              </w:rPr>
            </w:pPr>
            <w:r>
              <w:rPr>
                <w:rFonts w:hint="eastAsia"/>
                <w:szCs w:val="21"/>
              </w:rPr>
              <w:t>服务地点</w:t>
            </w:r>
          </w:p>
        </w:tc>
        <w:tc>
          <w:tcPr>
            <w:tcW w:w="6655" w:type="dxa"/>
            <w:vAlign w:val="center"/>
          </w:tcPr>
          <w:p w14:paraId="4BB63310">
            <w:pPr>
              <w:spacing w:line="360" w:lineRule="auto"/>
              <w:jc w:val="left"/>
              <w:rPr>
                <w:rFonts w:hint="eastAsia"/>
                <w:szCs w:val="21"/>
              </w:rPr>
            </w:pPr>
            <w:r>
              <w:rPr>
                <w:rFonts w:hint="eastAsia"/>
                <w:szCs w:val="21"/>
              </w:rPr>
              <w:t>用户指定地点</w:t>
            </w:r>
          </w:p>
        </w:tc>
      </w:tr>
      <w:tr w14:paraId="5BF4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358828CC">
            <w:pPr>
              <w:spacing w:line="360" w:lineRule="auto"/>
              <w:ind w:left="38" w:leftChars="18"/>
              <w:jc w:val="center"/>
              <w:rPr>
                <w:rFonts w:hint="eastAsia"/>
                <w:szCs w:val="21"/>
              </w:rPr>
            </w:pPr>
            <w:r>
              <w:rPr>
                <w:rFonts w:hint="eastAsia"/>
                <w:szCs w:val="21"/>
              </w:rPr>
              <w:t>1.2.8</w:t>
            </w:r>
          </w:p>
        </w:tc>
        <w:tc>
          <w:tcPr>
            <w:tcW w:w="1808" w:type="dxa"/>
            <w:vAlign w:val="center"/>
          </w:tcPr>
          <w:p w14:paraId="4391F513">
            <w:pPr>
              <w:spacing w:line="360" w:lineRule="auto"/>
              <w:ind w:left="38" w:leftChars="18"/>
              <w:jc w:val="center"/>
              <w:rPr>
                <w:rFonts w:hint="eastAsia"/>
                <w:szCs w:val="21"/>
              </w:rPr>
            </w:pPr>
            <w:r>
              <w:rPr>
                <w:rFonts w:hint="eastAsia"/>
                <w:szCs w:val="21"/>
              </w:rPr>
              <w:t>服务标准</w:t>
            </w:r>
          </w:p>
        </w:tc>
        <w:tc>
          <w:tcPr>
            <w:tcW w:w="6655" w:type="dxa"/>
            <w:vAlign w:val="center"/>
          </w:tcPr>
          <w:p w14:paraId="5173A102">
            <w:pPr>
              <w:spacing w:line="360" w:lineRule="auto"/>
              <w:jc w:val="left"/>
              <w:rPr>
                <w:rFonts w:hint="eastAsia"/>
                <w:szCs w:val="21"/>
              </w:rPr>
            </w:pPr>
            <w:r>
              <w:rPr>
                <w:rFonts w:hint="eastAsia"/>
                <w:szCs w:val="21"/>
              </w:rPr>
              <w:t>合格，符合相关的国家标准、行业标准和专业标准</w:t>
            </w:r>
          </w:p>
        </w:tc>
      </w:tr>
      <w:tr w14:paraId="176D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555E8A63">
            <w:pPr>
              <w:spacing w:line="360" w:lineRule="auto"/>
              <w:ind w:left="38" w:leftChars="18"/>
              <w:jc w:val="center"/>
              <w:rPr>
                <w:rFonts w:hint="eastAsia"/>
                <w:szCs w:val="21"/>
              </w:rPr>
            </w:pPr>
            <w:r>
              <w:rPr>
                <w:rFonts w:hint="eastAsia"/>
                <w:szCs w:val="21"/>
              </w:rPr>
              <w:t>1.2.9</w:t>
            </w:r>
          </w:p>
        </w:tc>
        <w:tc>
          <w:tcPr>
            <w:tcW w:w="1808" w:type="dxa"/>
            <w:vAlign w:val="center"/>
          </w:tcPr>
          <w:p w14:paraId="26EFDB9F">
            <w:pPr>
              <w:spacing w:line="360" w:lineRule="auto"/>
              <w:ind w:left="38" w:leftChars="18"/>
              <w:jc w:val="center"/>
              <w:rPr>
                <w:rFonts w:hint="eastAsia"/>
                <w:szCs w:val="21"/>
              </w:rPr>
            </w:pPr>
            <w:r>
              <w:rPr>
                <w:rFonts w:hint="eastAsia"/>
                <w:szCs w:val="21"/>
              </w:rPr>
              <w:t>投标人资格要求</w:t>
            </w:r>
            <w:r>
              <w:rPr>
                <w:rFonts w:hint="eastAsia"/>
                <w:b/>
                <w:bCs/>
                <w:szCs w:val="21"/>
              </w:rPr>
              <w:t>（如是联合体投标的。联合体所有成员均应满足该条件）</w:t>
            </w:r>
          </w:p>
        </w:tc>
        <w:tc>
          <w:tcPr>
            <w:tcW w:w="6655" w:type="dxa"/>
            <w:vAlign w:val="center"/>
          </w:tcPr>
          <w:p w14:paraId="5AC92C91">
            <w:pPr>
              <w:spacing w:line="360" w:lineRule="auto"/>
              <w:rPr>
                <w:rFonts w:hint="eastAsia"/>
                <w:szCs w:val="21"/>
              </w:rPr>
            </w:pPr>
            <w:bookmarkStart w:id="111" w:name="OLE_LINK11"/>
            <w:bookmarkStart w:id="112" w:name="OLE_LINK2"/>
            <w:r>
              <w:rPr>
                <w:rFonts w:hint="eastAsia"/>
                <w:szCs w:val="21"/>
              </w:rPr>
              <w:t>1. 符合《中华人民共和国政府采购法》第二十二条，并提供下列材料：</w:t>
            </w:r>
          </w:p>
          <w:p w14:paraId="72BF8D4A">
            <w:pPr>
              <w:widowControl/>
              <w:spacing w:line="360" w:lineRule="auto"/>
              <w:jc w:val="left"/>
              <w:rPr>
                <w:rFonts w:hint="eastAsia"/>
                <w:kern w:val="0"/>
                <w:szCs w:val="21"/>
              </w:rPr>
            </w:pPr>
            <w:bookmarkStart w:id="113" w:name="OLE_LINK36"/>
            <w:r>
              <w:rPr>
                <w:rFonts w:hint="eastAsia"/>
                <w:szCs w:val="21"/>
              </w:rPr>
              <w:t>1.1</w:t>
            </w:r>
            <w:r>
              <w:rPr>
                <w:rFonts w:hint="eastAsia"/>
                <w:kern w:val="0"/>
                <w:szCs w:val="21"/>
              </w:rPr>
              <w:t>具有独立承担民事责任的能力的证明材料：</w:t>
            </w:r>
          </w:p>
          <w:p w14:paraId="399C4F30">
            <w:pPr>
              <w:pStyle w:val="22"/>
              <w:spacing w:after="0" w:line="360" w:lineRule="auto"/>
              <w:ind w:left="0" w:leftChars="0" w:firstLine="0" w:firstLineChars="0"/>
              <w:rPr>
                <w:rFonts w:hint="eastAsia"/>
                <w:szCs w:val="21"/>
              </w:rPr>
            </w:pPr>
            <w:bookmarkStart w:id="114" w:name="OLE_LINK37"/>
            <w:r>
              <w:rPr>
                <w:rFonts w:hint="eastAsia"/>
                <w:szCs w:val="21"/>
              </w:rPr>
              <w:t>投标人为企业（包括合伙企业）的，应提供有效的“营业执照”；</w:t>
            </w:r>
          </w:p>
          <w:p w14:paraId="3C96AF4B">
            <w:pPr>
              <w:pStyle w:val="22"/>
              <w:spacing w:after="0" w:line="360" w:lineRule="auto"/>
              <w:ind w:left="0" w:leftChars="0" w:firstLine="0" w:firstLineChars="0"/>
              <w:rPr>
                <w:rFonts w:hint="eastAsia"/>
                <w:szCs w:val="21"/>
              </w:rPr>
            </w:pPr>
            <w:r>
              <w:rPr>
                <w:rFonts w:hint="eastAsia"/>
                <w:szCs w:val="21"/>
              </w:rPr>
              <w:t>投标人为事业单位的，应提供有效的“事业单位法人证书”；</w:t>
            </w:r>
          </w:p>
          <w:p w14:paraId="7BCF9554">
            <w:pPr>
              <w:pStyle w:val="22"/>
              <w:spacing w:after="0" w:line="360" w:lineRule="auto"/>
              <w:ind w:left="0" w:leftChars="0" w:firstLine="0" w:firstLineChars="0"/>
              <w:rPr>
                <w:rFonts w:hint="eastAsia"/>
                <w:szCs w:val="21"/>
              </w:rPr>
            </w:pPr>
            <w:r>
              <w:rPr>
                <w:rFonts w:hint="eastAsia"/>
                <w:szCs w:val="21"/>
              </w:rPr>
              <w:t>投标人是非企业机构的，应提供有效的“执业许可证”“登记证书”等证明文件；</w:t>
            </w:r>
          </w:p>
          <w:p w14:paraId="65A0A37C">
            <w:pPr>
              <w:pStyle w:val="22"/>
              <w:spacing w:after="0" w:line="360" w:lineRule="auto"/>
              <w:ind w:left="0" w:leftChars="0" w:firstLine="0" w:firstLineChars="0"/>
              <w:rPr>
                <w:rFonts w:hint="eastAsia"/>
                <w:szCs w:val="21"/>
              </w:rPr>
            </w:pPr>
            <w:r>
              <w:rPr>
                <w:rFonts w:hint="eastAsia"/>
                <w:szCs w:val="21"/>
              </w:rPr>
              <w:t>投标人是个体工商户的，应提供有效的“个体工商户营业执照”；</w:t>
            </w:r>
          </w:p>
          <w:p w14:paraId="5EACC282">
            <w:pPr>
              <w:pStyle w:val="22"/>
              <w:spacing w:after="0" w:line="360" w:lineRule="auto"/>
              <w:ind w:left="0" w:leftChars="0" w:firstLine="0" w:firstLineChars="0"/>
              <w:rPr>
                <w:rFonts w:hint="eastAsia"/>
                <w:szCs w:val="21"/>
              </w:rPr>
            </w:pPr>
            <w:r>
              <w:rPr>
                <w:rFonts w:hint="eastAsia"/>
                <w:szCs w:val="21"/>
              </w:rPr>
              <w:t>投标人是自然人的，应提供有效的自然人身份证明。</w:t>
            </w:r>
            <w:bookmarkEnd w:id="113"/>
            <w:bookmarkEnd w:id="114"/>
          </w:p>
          <w:p w14:paraId="24AED5BC">
            <w:pPr>
              <w:spacing w:line="360" w:lineRule="auto"/>
              <w:rPr>
                <w:rFonts w:hint="eastAsia"/>
              </w:rPr>
            </w:pPr>
            <w:r>
              <w:rPr>
                <w:rFonts w:hint="eastAsia"/>
              </w:rPr>
              <w:t xml:space="preserve">1.2 </w:t>
            </w:r>
            <w:bookmarkStart w:id="115" w:name="OLE_LINK38"/>
            <w:r>
              <w:rPr>
                <w:rFonts w:hint="eastAsia"/>
                <w:szCs w:val="21"/>
              </w:rPr>
              <w:t>投标人</w:t>
            </w:r>
            <w:r>
              <w:rPr>
                <w:rFonts w:hint="eastAsia"/>
              </w:rPr>
              <w:t>是企业法人的，应提供202</w:t>
            </w:r>
            <w:r>
              <w:rPr>
                <w:rFonts w:hint="eastAsia"/>
                <w:kern w:val="0"/>
                <w:szCs w:val="21"/>
              </w:rPr>
              <w:t>4</w:t>
            </w:r>
            <w:r>
              <w:rPr>
                <w:rFonts w:hint="eastAsia"/>
              </w:rPr>
              <w:t>年度经审计的财务报告（新成立企业从成立之日起计算），包括“三表一注”，即资产负债表、利润表（损益表）、现金流量表及其附注或基本开户银行出具的资信证明。部分其他组织和自然人，没有经审计的财务报告，可以提供银行出具的资信证明。</w:t>
            </w:r>
            <w:r>
              <w:rPr>
                <w:rFonts w:hint="eastAsia"/>
                <w:szCs w:val="21"/>
              </w:rPr>
              <w:t>投标人</w:t>
            </w:r>
            <w:r>
              <w:rPr>
                <w:rFonts w:hint="eastAsia"/>
                <w:kern w:val="0"/>
              </w:rPr>
              <w:t>为事业单位的，至少应提供</w:t>
            </w:r>
            <w:r>
              <w:rPr>
                <w:rFonts w:hint="eastAsia"/>
              </w:rPr>
              <w:t>202</w:t>
            </w:r>
            <w:r>
              <w:rPr>
                <w:rFonts w:hint="eastAsia"/>
                <w:kern w:val="0"/>
                <w:szCs w:val="21"/>
              </w:rPr>
              <w:t>4</w:t>
            </w:r>
            <w:r>
              <w:rPr>
                <w:rFonts w:hint="eastAsia"/>
              </w:rPr>
              <w:t>年度</w:t>
            </w:r>
            <w:r>
              <w:rPr>
                <w:rFonts w:hint="eastAsia"/>
                <w:kern w:val="0"/>
              </w:rPr>
              <w:t>的资产负债表</w:t>
            </w:r>
            <w:r>
              <w:rPr>
                <w:rFonts w:hint="eastAsia"/>
              </w:rPr>
              <w:t>。</w:t>
            </w:r>
            <w:bookmarkEnd w:id="115"/>
          </w:p>
          <w:p w14:paraId="624A6556">
            <w:pPr>
              <w:spacing w:line="360" w:lineRule="auto"/>
              <w:rPr>
                <w:rFonts w:hint="eastAsia"/>
              </w:rPr>
            </w:pPr>
            <w:r>
              <w:rPr>
                <w:rFonts w:hint="eastAsia"/>
              </w:rPr>
              <w:t>1.3 具有履行合同所必需的设备和专业技术能力书面声明函。</w:t>
            </w:r>
          </w:p>
          <w:p w14:paraId="5B1E7E7D">
            <w:pPr>
              <w:spacing w:line="360" w:lineRule="auto"/>
              <w:rPr>
                <w:rFonts w:hint="eastAsia"/>
              </w:rPr>
            </w:pPr>
            <w:r>
              <w:rPr>
                <w:rFonts w:hint="eastAsia"/>
              </w:rPr>
              <w:t xml:space="preserve">1.4 </w:t>
            </w:r>
            <w:r>
              <w:rPr>
                <w:rFonts w:hint="eastAsia"/>
                <w:szCs w:val="21"/>
              </w:rPr>
              <w:t>投标人</w:t>
            </w:r>
            <w:r>
              <w:rPr>
                <w:rFonts w:hint="eastAsia"/>
              </w:rPr>
              <w:t>缴纳税收证明材料：2025年1月1日以来任意</w:t>
            </w:r>
            <w:r>
              <w:t>1</w:t>
            </w:r>
            <w:r>
              <w:rPr>
                <w:rFonts w:hint="eastAsia"/>
              </w:rPr>
              <w:t>个月缴纳的相关税收凭据（主管行政部门或银行出具）。</w:t>
            </w:r>
            <w:bookmarkStart w:id="116" w:name="OLE_LINK39"/>
            <w:r>
              <w:rPr>
                <w:rFonts w:hint="eastAsia"/>
              </w:rPr>
              <w:t>其他组织和自然人也需要提供缴纳税收的凭证</w:t>
            </w:r>
            <w:bookmarkEnd w:id="116"/>
            <w:r>
              <w:rPr>
                <w:rFonts w:hint="eastAsia"/>
              </w:rPr>
              <w:t>（新成立企业从成立之日起计算，依法免税的</w:t>
            </w:r>
            <w:r>
              <w:rPr>
                <w:rFonts w:hint="eastAsia"/>
                <w:szCs w:val="21"/>
              </w:rPr>
              <w:t>投标人</w:t>
            </w:r>
            <w:r>
              <w:rPr>
                <w:rFonts w:hint="eastAsia"/>
              </w:rPr>
              <w:t>，应提供相应行政部门出具的证明文件，证明其依法免税）。</w:t>
            </w:r>
          </w:p>
          <w:p w14:paraId="3BE770FB">
            <w:pPr>
              <w:spacing w:line="360" w:lineRule="auto"/>
              <w:rPr>
                <w:rFonts w:hint="eastAsia"/>
              </w:rPr>
            </w:pPr>
            <w:r>
              <w:rPr>
                <w:rFonts w:hint="eastAsia"/>
              </w:rPr>
              <w:t xml:space="preserve">1.5 </w:t>
            </w:r>
            <w:r>
              <w:rPr>
                <w:rFonts w:hint="eastAsia"/>
                <w:szCs w:val="21"/>
              </w:rPr>
              <w:t>投标人</w:t>
            </w:r>
            <w:r>
              <w:rPr>
                <w:rFonts w:hint="eastAsia"/>
              </w:rPr>
              <w:t>缴纳社会保障资金证明材料：2025年1月1日以来任意</w:t>
            </w:r>
            <w:r>
              <w:t>1</w:t>
            </w:r>
            <w:r>
              <w:rPr>
                <w:rFonts w:hint="eastAsia"/>
              </w:rPr>
              <w:t>个月缴纳社会保险凭据（专用收据或社会保险缴纳清单）。其他组织和自然人也需要提供缴纳社会保险的凭证（新成立企业从成立之日起计算，依法不需要缴纳社会保障资金的</w:t>
            </w:r>
            <w:r>
              <w:rPr>
                <w:rFonts w:hint="eastAsia"/>
                <w:szCs w:val="21"/>
              </w:rPr>
              <w:t>投标人</w:t>
            </w:r>
            <w:r>
              <w:rPr>
                <w:rFonts w:hint="eastAsia"/>
              </w:rPr>
              <w:t>，应提供相应行政部门出具的证明文件，证明其依法不需要缴纳社会保障资金）。</w:t>
            </w:r>
          </w:p>
          <w:p w14:paraId="38E6126B">
            <w:pPr>
              <w:spacing w:line="360" w:lineRule="auto"/>
              <w:rPr>
                <w:rFonts w:hint="eastAsia"/>
              </w:rPr>
            </w:pPr>
            <w:r>
              <w:rPr>
                <w:rFonts w:hint="eastAsia"/>
              </w:rPr>
              <w:t xml:space="preserve">1.6 </w:t>
            </w:r>
            <w:r>
              <w:rPr>
                <w:rFonts w:hint="eastAsia"/>
                <w:szCs w:val="21"/>
              </w:rPr>
              <w:t>投标人</w:t>
            </w:r>
            <w:r>
              <w:rPr>
                <w:rFonts w:hint="eastAsia"/>
              </w:rPr>
              <w:t>参与采购活动前三年内在经营活动中没有重大违法记录的书面声明函。</w:t>
            </w:r>
          </w:p>
          <w:p w14:paraId="6D5D666A">
            <w:pPr>
              <w:spacing w:line="360" w:lineRule="auto"/>
              <w:rPr>
                <w:rFonts w:hint="eastAsia"/>
                <w:szCs w:val="21"/>
              </w:rPr>
            </w:pPr>
            <w:r>
              <w:rPr>
                <w:rFonts w:hint="eastAsia"/>
                <w:szCs w:val="21"/>
              </w:rPr>
              <w:t>2. 落实政府采购政策满足的资格要求：本项目执行促进中小型企业发展政策（监狱企业、残疾人福利性企业视同小微企业）、强制采购节能产品、优先采购节能环保产品等政府采购政策</w:t>
            </w:r>
            <w:r>
              <w:rPr>
                <w:rFonts w:hint="eastAsia"/>
                <w:bCs/>
                <w:szCs w:val="21"/>
                <w:shd w:val="clear" w:color="auto" w:fill="FFFFFF"/>
              </w:rPr>
              <w:t>。</w:t>
            </w:r>
          </w:p>
          <w:p w14:paraId="332EDEA7">
            <w:pPr>
              <w:spacing w:line="360" w:lineRule="auto"/>
              <w:rPr>
                <w:rFonts w:hint="eastAsia"/>
              </w:rPr>
            </w:pPr>
            <w:r>
              <w:rPr>
                <w:rFonts w:hint="eastAsia"/>
              </w:rPr>
              <w:t>3、本项目的特定资格要求：</w:t>
            </w:r>
          </w:p>
          <w:bookmarkEnd w:id="111"/>
          <w:bookmarkEnd w:id="112"/>
          <w:p w14:paraId="2820871C">
            <w:pPr>
              <w:tabs>
                <w:tab w:val="left" w:pos="630"/>
              </w:tabs>
              <w:spacing w:line="360" w:lineRule="auto"/>
              <w:rPr>
                <w:rFonts w:hint="eastAsia"/>
                <w:szCs w:val="21"/>
              </w:rPr>
            </w:pPr>
            <w:r>
              <w:rPr>
                <w:rFonts w:hint="eastAsia"/>
                <w:szCs w:val="21"/>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被列入失信被执行人、重大税收违法失信主体、政府采购严重违法失信行为记录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w:t>
            </w:r>
          </w:p>
          <w:p w14:paraId="02EBF9DE">
            <w:pPr>
              <w:tabs>
                <w:tab w:val="left" w:pos="630"/>
              </w:tabs>
              <w:spacing w:line="360" w:lineRule="auto"/>
              <w:rPr>
                <w:rFonts w:hint="eastAsia"/>
                <w:szCs w:val="21"/>
              </w:rPr>
            </w:pPr>
            <w:r>
              <w:rPr>
                <w:rFonts w:hint="eastAsia"/>
                <w:szCs w:val="21"/>
              </w:rPr>
              <w:t>3.2 单位负责人为同一人或者存在直接控股、管理关系的不同投标人，不得参加同一合同项下的政府采购活动（提供相关承诺函，格式自拟）。</w:t>
            </w:r>
          </w:p>
          <w:p w14:paraId="31DD7212">
            <w:pPr>
              <w:tabs>
                <w:tab w:val="left" w:pos="630"/>
              </w:tabs>
              <w:spacing w:line="360" w:lineRule="auto"/>
              <w:rPr>
                <w:rFonts w:hint="eastAsia"/>
                <w:szCs w:val="21"/>
              </w:rPr>
            </w:pPr>
            <w:r>
              <w:rPr>
                <w:rFonts w:hint="eastAsia"/>
                <w:szCs w:val="21"/>
              </w:rPr>
              <w:t>3.3 为本采购项目提供整体设计、规范编制或者项目管理、监理、检测等服务的，不得再参加本项目的其他招标采购活动（提供相关承诺函，格式自拟）。</w:t>
            </w:r>
          </w:p>
        </w:tc>
      </w:tr>
      <w:tr w14:paraId="3344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6F473EC8">
            <w:pPr>
              <w:spacing w:line="360" w:lineRule="auto"/>
              <w:ind w:left="38" w:leftChars="18"/>
              <w:jc w:val="center"/>
              <w:rPr>
                <w:rFonts w:hint="eastAsia"/>
                <w:szCs w:val="21"/>
              </w:rPr>
            </w:pPr>
            <w:r>
              <w:rPr>
                <w:rFonts w:hint="eastAsia"/>
                <w:szCs w:val="21"/>
              </w:rPr>
              <w:t>1.2.10</w:t>
            </w:r>
          </w:p>
        </w:tc>
        <w:tc>
          <w:tcPr>
            <w:tcW w:w="1808" w:type="dxa"/>
            <w:vAlign w:val="center"/>
          </w:tcPr>
          <w:p w14:paraId="1B4082E8">
            <w:pPr>
              <w:spacing w:line="360" w:lineRule="auto"/>
              <w:ind w:left="38" w:leftChars="18"/>
              <w:jc w:val="center"/>
              <w:rPr>
                <w:rFonts w:hint="eastAsia"/>
                <w:szCs w:val="21"/>
              </w:rPr>
            </w:pPr>
            <w:r>
              <w:rPr>
                <w:rFonts w:hint="eastAsia"/>
                <w:szCs w:val="21"/>
              </w:rPr>
              <w:t>是否接受联合体投标</w:t>
            </w:r>
          </w:p>
        </w:tc>
        <w:tc>
          <w:tcPr>
            <w:tcW w:w="6655" w:type="dxa"/>
            <w:vAlign w:val="center"/>
          </w:tcPr>
          <w:p w14:paraId="14EAC8B0">
            <w:pPr>
              <w:tabs>
                <w:tab w:val="left" w:pos="630"/>
              </w:tabs>
              <w:spacing w:line="360" w:lineRule="auto"/>
              <w:rPr>
                <w:rFonts w:hint="eastAsia"/>
                <w:szCs w:val="21"/>
              </w:rPr>
            </w:pPr>
            <w:r>
              <w:rPr>
                <w:rFonts w:hint="eastAsia"/>
                <w:szCs w:val="21"/>
              </w:rPr>
              <w:t>本次招标接受联合体投标。联合体投标的，应满足下列要求：</w:t>
            </w:r>
          </w:p>
          <w:p w14:paraId="0E21C994">
            <w:pPr>
              <w:tabs>
                <w:tab w:val="left" w:pos="630"/>
              </w:tabs>
              <w:spacing w:line="360" w:lineRule="auto"/>
              <w:rPr>
                <w:rFonts w:hint="eastAsia"/>
                <w:szCs w:val="21"/>
              </w:rPr>
            </w:pPr>
            <w:r>
              <w:rPr>
                <w:rFonts w:hint="eastAsia"/>
                <w:szCs w:val="21"/>
              </w:rPr>
              <w:t>1.联合体各成员都必须是财务自主、独立核算、有独立的经营权和决策权的独立法人；</w:t>
            </w:r>
          </w:p>
          <w:p w14:paraId="413EEABD">
            <w:pPr>
              <w:tabs>
                <w:tab w:val="left" w:pos="630"/>
              </w:tabs>
              <w:spacing w:line="360" w:lineRule="auto"/>
              <w:rPr>
                <w:rFonts w:hint="eastAsia"/>
                <w:szCs w:val="21"/>
              </w:rPr>
            </w:pPr>
            <w:r>
              <w:rPr>
                <w:rFonts w:hint="eastAsia"/>
                <w:szCs w:val="21"/>
              </w:rPr>
              <w:t>2.联合体成员单位不超过2家，联合体各方应共同签订联合体协议书，并确定联合体牵头人。牵头人合法代表联合体双方成员负责本项目投标。本项目的法人授权委托书须由联合体各方的法定代表人签字并加盖公章；</w:t>
            </w:r>
          </w:p>
          <w:p w14:paraId="25C02270">
            <w:pPr>
              <w:tabs>
                <w:tab w:val="left" w:pos="630"/>
              </w:tabs>
              <w:spacing w:line="360" w:lineRule="auto"/>
              <w:rPr>
                <w:rFonts w:hint="eastAsia"/>
                <w:szCs w:val="21"/>
              </w:rPr>
            </w:pPr>
            <w:r>
              <w:rPr>
                <w:rFonts w:hint="eastAsia"/>
                <w:szCs w:val="21"/>
              </w:rPr>
              <w:t>3.联合体各方应共同签订联合体协议书，联合体各成员的法定代表人都应在联合体协议书上签字并加盖单位公章；协议书应明确联合体牵头人和各方权利义务及责任，以及各方拟承担工作量的内容和比例。联合体中标的，联合体各方应当共同与招标人签订合同，就中标项目向招标人承担连带责任；</w:t>
            </w:r>
          </w:p>
          <w:p w14:paraId="56F5EAFE">
            <w:pPr>
              <w:tabs>
                <w:tab w:val="left" w:pos="630"/>
              </w:tabs>
              <w:spacing w:line="360" w:lineRule="auto"/>
              <w:rPr>
                <w:rFonts w:hint="eastAsia"/>
                <w:szCs w:val="21"/>
              </w:rPr>
            </w:pPr>
            <w:r>
              <w:rPr>
                <w:rFonts w:hint="eastAsia"/>
                <w:szCs w:val="21"/>
              </w:rPr>
              <w:t>4.联合体各成员签订联合体协议书后，不得再以自己的名义单独投标，也不得组成新的联合体或参加其他联合体在同一项目中投标，否则，其所有投标无效。</w:t>
            </w:r>
          </w:p>
        </w:tc>
      </w:tr>
      <w:tr w14:paraId="41D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77C3B374">
            <w:pPr>
              <w:spacing w:line="360" w:lineRule="auto"/>
              <w:ind w:left="38" w:leftChars="18"/>
              <w:jc w:val="center"/>
              <w:rPr>
                <w:rFonts w:hint="eastAsia"/>
                <w:szCs w:val="21"/>
              </w:rPr>
            </w:pPr>
            <w:r>
              <w:rPr>
                <w:rFonts w:hint="eastAsia"/>
                <w:szCs w:val="21"/>
              </w:rPr>
              <w:t>1.4.1</w:t>
            </w:r>
          </w:p>
        </w:tc>
        <w:tc>
          <w:tcPr>
            <w:tcW w:w="1808" w:type="dxa"/>
            <w:vAlign w:val="center"/>
          </w:tcPr>
          <w:p w14:paraId="29C852CB">
            <w:pPr>
              <w:spacing w:line="360" w:lineRule="auto"/>
              <w:ind w:left="38" w:leftChars="18"/>
              <w:jc w:val="center"/>
              <w:rPr>
                <w:rFonts w:hint="eastAsia"/>
                <w:szCs w:val="21"/>
              </w:rPr>
            </w:pPr>
            <w:r>
              <w:rPr>
                <w:rFonts w:hint="eastAsia"/>
                <w:szCs w:val="21"/>
              </w:rPr>
              <w:t>现场考察</w:t>
            </w:r>
          </w:p>
        </w:tc>
        <w:tc>
          <w:tcPr>
            <w:tcW w:w="6655" w:type="dxa"/>
            <w:vAlign w:val="center"/>
          </w:tcPr>
          <w:p w14:paraId="051CEDB9">
            <w:pPr>
              <w:tabs>
                <w:tab w:val="left" w:pos="720"/>
                <w:tab w:val="left" w:pos="1904"/>
              </w:tabs>
              <w:spacing w:line="360" w:lineRule="auto"/>
              <w:rPr>
                <w:rFonts w:hint="eastAsia"/>
                <w:szCs w:val="21"/>
              </w:rPr>
            </w:pPr>
            <w:r>
              <w:rPr>
                <w:rFonts w:hint="eastAsia"/>
                <w:szCs w:val="21"/>
              </w:rPr>
              <w:t>不组织</w:t>
            </w:r>
          </w:p>
        </w:tc>
      </w:tr>
      <w:tr w14:paraId="4A1B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28BE9112">
            <w:pPr>
              <w:spacing w:line="360" w:lineRule="auto"/>
              <w:ind w:left="38" w:leftChars="18"/>
              <w:jc w:val="center"/>
              <w:rPr>
                <w:rFonts w:hint="eastAsia"/>
                <w:szCs w:val="21"/>
              </w:rPr>
            </w:pPr>
            <w:r>
              <w:rPr>
                <w:rFonts w:hint="eastAsia"/>
                <w:szCs w:val="21"/>
              </w:rPr>
              <w:t>1.4.5</w:t>
            </w:r>
          </w:p>
        </w:tc>
        <w:tc>
          <w:tcPr>
            <w:tcW w:w="1808" w:type="dxa"/>
            <w:vAlign w:val="center"/>
          </w:tcPr>
          <w:p w14:paraId="31D01DE1">
            <w:pPr>
              <w:spacing w:line="360" w:lineRule="auto"/>
              <w:ind w:left="38" w:leftChars="18"/>
              <w:jc w:val="center"/>
              <w:rPr>
                <w:rFonts w:hint="eastAsia"/>
                <w:szCs w:val="21"/>
              </w:rPr>
            </w:pPr>
            <w:r>
              <w:rPr>
                <w:rFonts w:hint="eastAsia"/>
                <w:szCs w:val="21"/>
              </w:rPr>
              <w:t>答 疑 会</w:t>
            </w:r>
          </w:p>
        </w:tc>
        <w:tc>
          <w:tcPr>
            <w:tcW w:w="6655" w:type="dxa"/>
            <w:vAlign w:val="center"/>
          </w:tcPr>
          <w:p w14:paraId="18171F60">
            <w:pPr>
              <w:tabs>
                <w:tab w:val="left" w:pos="720"/>
                <w:tab w:val="left" w:pos="1904"/>
              </w:tabs>
              <w:spacing w:line="360" w:lineRule="auto"/>
              <w:rPr>
                <w:rFonts w:hint="eastAsia"/>
                <w:szCs w:val="21"/>
              </w:rPr>
            </w:pPr>
            <w:r>
              <w:rPr>
                <w:rFonts w:hint="eastAsia"/>
                <w:szCs w:val="21"/>
              </w:rPr>
              <w:t>不召开</w:t>
            </w:r>
          </w:p>
        </w:tc>
      </w:tr>
      <w:tr w14:paraId="606C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189E2815">
            <w:pPr>
              <w:spacing w:line="360" w:lineRule="auto"/>
              <w:ind w:left="38" w:leftChars="18"/>
              <w:jc w:val="center"/>
              <w:rPr>
                <w:rFonts w:hint="eastAsia"/>
                <w:szCs w:val="21"/>
              </w:rPr>
            </w:pPr>
            <w:r>
              <w:rPr>
                <w:rFonts w:hint="eastAsia"/>
                <w:szCs w:val="21"/>
              </w:rPr>
              <w:t>1.5.1</w:t>
            </w:r>
          </w:p>
        </w:tc>
        <w:tc>
          <w:tcPr>
            <w:tcW w:w="1808" w:type="dxa"/>
            <w:vAlign w:val="center"/>
          </w:tcPr>
          <w:p w14:paraId="06746D79">
            <w:pPr>
              <w:spacing w:line="360" w:lineRule="auto"/>
              <w:ind w:left="38" w:leftChars="18"/>
              <w:jc w:val="center"/>
              <w:rPr>
                <w:rFonts w:hint="eastAsia"/>
                <w:szCs w:val="21"/>
              </w:rPr>
            </w:pPr>
            <w:r>
              <w:rPr>
                <w:rFonts w:hint="eastAsia"/>
                <w:szCs w:val="21"/>
              </w:rPr>
              <w:t>分包</w:t>
            </w:r>
          </w:p>
        </w:tc>
        <w:tc>
          <w:tcPr>
            <w:tcW w:w="6655" w:type="dxa"/>
            <w:vAlign w:val="center"/>
          </w:tcPr>
          <w:p w14:paraId="3B986524">
            <w:pPr>
              <w:tabs>
                <w:tab w:val="left" w:pos="720"/>
                <w:tab w:val="left" w:pos="1904"/>
              </w:tabs>
              <w:spacing w:line="360" w:lineRule="auto"/>
              <w:rPr>
                <w:rFonts w:hint="eastAsia"/>
                <w:szCs w:val="21"/>
              </w:rPr>
            </w:pPr>
            <w:r>
              <w:rPr>
                <w:rFonts w:hint="eastAsia"/>
                <w:szCs w:val="21"/>
              </w:rPr>
              <w:t>不允许</w:t>
            </w:r>
          </w:p>
        </w:tc>
      </w:tr>
      <w:tr w14:paraId="277D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4FC0EA95">
            <w:pPr>
              <w:spacing w:line="360" w:lineRule="auto"/>
              <w:ind w:left="38" w:leftChars="18"/>
              <w:jc w:val="center"/>
              <w:rPr>
                <w:rFonts w:hint="eastAsia"/>
                <w:szCs w:val="21"/>
              </w:rPr>
            </w:pPr>
            <w:r>
              <w:rPr>
                <w:rFonts w:hint="eastAsia"/>
                <w:szCs w:val="21"/>
              </w:rPr>
              <w:t>1.6</w:t>
            </w:r>
          </w:p>
        </w:tc>
        <w:tc>
          <w:tcPr>
            <w:tcW w:w="1808" w:type="dxa"/>
            <w:vAlign w:val="center"/>
          </w:tcPr>
          <w:p w14:paraId="36F442A0">
            <w:pPr>
              <w:spacing w:line="360" w:lineRule="auto"/>
              <w:ind w:left="38" w:leftChars="18"/>
              <w:jc w:val="center"/>
              <w:rPr>
                <w:rFonts w:hint="eastAsia"/>
                <w:kern w:val="0"/>
                <w:szCs w:val="21"/>
              </w:rPr>
            </w:pPr>
            <w:r>
              <w:rPr>
                <w:rFonts w:hint="eastAsia"/>
                <w:kern w:val="0"/>
                <w:szCs w:val="21"/>
              </w:rPr>
              <w:t>样品</w:t>
            </w:r>
          </w:p>
        </w:tc>
        <w:tc>
          <w:tcPr>
            <w:tcW w:w="6655" w:type="dxa"/>
            <w:vAlign w:val="center"/>
          </w:tcPr>
          <w:p w14:paraId="53ACCE90">
            <w:pPr>
              <w:spacing w:line="360" w:lineRule="auto"/>
              <w:jc w:val="left"/>
              <w:rPr>
                <w:rFonts w:hint="eastAsia"/>
                <w:szCs w:val="21"/>
              </w:rPr>
            </w:pPr>
            <w:r>
              <w:rPr>
                <w:rFonts w:hint="eastAsia"/>
                <w:szCs w:val="21"/>
              </w:rPr>
              <w:t>无</w:t>
            </w:r>
          </w:p>
        </w:tc>
      </w:tr>
      <w:tr w14:paraId="33A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0D0DEDF0">
            <w:pPr>
              <w:spacing w:line="360" w:lineRule="auto"/>
              <w:ind w:left="38" w:leftChars="18"/>
              <w:jc w:val="center"/>
              <w:rPr>
                <w:rFonts w:hint="eastAsia"/>
                <w:szCs w:val="21"/>
              </w:rPr>
            </w:pPr>
            <w:r>
              <w:rPr>
                <w:rFonts w:hint="eastAsia"/>
                <w:szCs w:val="21"/>
              </w:rPr>
              <w:t>1.11.2</w:t>
            </w:r>
          </w:p>
        </w:tc>
        <w:tc>
          <w:tcPr>
            <w:tcW w:w="1808" w:type="dxa"/>
            <w:vAlign w:val="center"/>
          </w:tcPr>
          <w:p w14:paraId="6A6DBB0B">
            <w:pPr>
              <w:spacing w:line="360" w:lineRule="auto"/>
              <w:ind w:left="38" w:leftChars="18"/>
              <w:jc w:val="center"/>
              <w:rPr>
                <w:rFonts w:hint="eastAsia"/>
                <w:szCs w:val="21"/>
              </w:rPr>
            </w:pPr>
            <w:r>
              <w:rPr>
                <w:rFonts w:hint="eastAsia"/>
                <w:szCs w:val="21"/>
              </w:rPr>
              <w:t>偏差</w:t>
            </w:r>
          </w:p>
        </w:tc>
        <w:tc>
          <w:tcPr>
            <w:tcW w:w="6655" w:type="dxa"/>
            <w:vAlign w:val="center"/>
          </w:tcPr>
          <w:p w14:paraId="0EAD914E">
            <w:pPr>
              <w:spacing w:line="360" w:lineRule="auto"/>
              <w:ind w:left="38" w:leftChars="18"/>
              <w:rPr>
                <w:rFonts w:hint="eastAsia"/>
                <w:szCs w:val="21"/>
              </w:rPr>
            </w:pPr>
            <w:r>
              <w:rPr>
                <w:rFonts w:hint="eastAsia"/>
                <w:szCs w:val="21"/>
              </w:rPr>
              <w:t>允许</w:t>
            </w:r>
          </w:p>
        </w:tc>
      </w:tr>
      <w:tr w14:paraId="1484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6D04D69A">
            <w:pPr>
              <w:spacing w:line="360" w:lineRule="auto"/>
              <w:ind w:left="38" w:leftChars="18"/>
              <w:jc w:val="center"/>
              <w:rPr>
                <w:rFonts w:hint="eastAsia"/>
                <w:szCs w:val="21"/>
              </w:rPr>
            </w:pPr>
            <w:r>
              <w:rPr>
                <w:rFonts w:hint="eastAsia"/>
                <w:kern w:val="0"/>
                <w:szCs w:val="21"/>
              </w:rPr>
              <w:t>2.2.2</w:t>
            </w:r>
          </w:p>
        </w:tc>
        <w:tc>
          <w:tcPr>
            <w:tcW w:w="1808" w:type="dxa"/>
            <w:vAlign w:val="center"/>
          </w:tcPr>
          <w:p w14:paraId="6DA9B30D">
            <w:pPr>
              <w:spacing w:line="360" w:lineRule="auto"/>
              <w:ind w:left="38" w:leftChars="18"/>
              <w:jc w:val="center"/>
              <w:rPr>
                <w:rFonts w:hint="eastAsia"/>
                <w:szCs w:val="21"/>
              </w:rPr>
            </w:pPr>
            <w:r>
              <w:rPr>
                <w:rFonts w:hint="eastAsia"/>
                <w:kern w:val="0"/>
                <w:szCs w:val="21"/>
              </w:rPr>
              <w:t>招标文件澄清发出的形式</w:t>
            </w:r>
          </w:p>
        </w:tc>
        <w:tc>
          <w:tcPr>
            <w:tcW w:w="6655" w:type="dxa"/>
            <w:vAlign w:val="center"/>
          </w:tcPr>
          <w:p w14:paraId="2246E326">
            <w:pPr>
              <w:spacing w:line="360" w:lineRule="auto"/>
              <w:ind w:left="38" w:leftChars="18"/>
              <w:rPr>
                <w:rFonts w:hint="eastAsia"/>
                <w:szCs w:val="21"/>
              </w:rPr>
            </w:pPr>
            <w:r>
              <w:rPr>
                <w:rFonts w:hint="eastAsia"/>
                <w:szCs w:val="21"/>
              </w:rPr>
              <w:t>通过公共电子交易平台发布</w:t>
            </w:r>
            <w:r>
              <w:rPr>
                <w:rFonts w:hint="eastAsia"/>
                <w:kern w:val="0"/>
                <w:szCs w:val="21"/>
              </w:rPr>
              <w:t>且同时在原公告媒体发布澄清公告</w:t>
            </w:r>
          </w:p>
        </w:tc>
      </w:tr>
      <w:tr w14:paraId="51E2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31" w:type="dxa"/>
            <w:vAlign w:val="center"/>
          </w:tcPr>
          <w:p w14:paraId="4B4AE211">
            <w:pPr>
              <w:spacing w:line="360" w:lineRule="auto"/>
              <w:ind w:left="38" w:leftChars="18"/>
              <w:jc w:val="center"/>
              <w:rPr>
                <w:rFonts w:hint="eastAsia"/>
                <w:szCs w:val="21"/>
              </w:rPr>
            </w:pPr>
            <w:r>
              <w:rPr>
                <w:rFonts w:hint="eastAsia"/>
                <w:kern w:val="0"/>
                <w:szCs w:val="21"/>
              </w:rPr>
              <w:t>2.2.3</w:t>
            </w:r>
          </w:p>
        </w:tc>
        <w:tc>
          <w:tcPr>
            <w:tcW w:w="1808" w:type="dxa"/>
            <w:vAlign w:val="center"/>
          </w:tcPr>
          <w:p w14:paraId="12CF717B">
            <w:pPr>
              <w:spacing w:line="360" w:lineRule="auto"/>
              <w:ind w:left="38" w:leftChars="18"/>
              <w:jc w:val="center"/>
              <w:rPr>
                <w:rFonts w:hint="eastAsia"/>
                <w:szCs w:val="21"/>
              </w:rPr>
            </w:pPr>
            <w:r>
              <w:rPr>
                <w:rFonts w:hint="eastAsia"/>
                <w:kern w:val="0"/>
                <w:szCs w:val="21"/>
              </w:rPr>
              <w:t>投标人确认收到招标文件澄清</w:t>
            </w:r>
          </w:p>
        </w:tc>
        <w:tc>
          <w:tcPr>
            <w:tcW w:w="6655" w:type="dxa"/>
            <w:vAlign w:val="center"/>
          </w:tcPr>
          <w:p w14:paraId="3B414437">
            <w:pPr>
              <w:spacing w:line="360" w:lineRule="auto"/>
              <w:ind w:left="38" w:leftChars="18"/>
              <w:rPr>
                <w:rFonts w:hint="eastAsia"/>
                <w:szCs w:val="21"/>
              </w:rPr>
            </w:pPr>
            <w:r>
              <w:rPr>
                <w:rFonts w:hint="eastAsia"/>
                <w:kern w:val="10"/>
                <w:szCs w:val="21"/>
              </w:rPr>
              <w:t>公共资源交易中心平台交易平台系统查看，无需确认</w:t>
            </w:r>
          </w:p>
        </w:tc>
      </w:tr>
      <w:tr w14:paraId="0674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03B51458">
            <w:pPr>
              <w:spacing w:line="360" w:lineRule="auto"/>
              <w:ind w:left="38" w:leftChars="18"/>
              <w:jc w:val="center"/>
              <w:rPr>
                <w:rFonts w:hint="eastAsia"/>
                <w:szCs w:val="21"/>
              </w:rPr>
            </w:pPr>
            <w:r>
              <w:rPr>
                <w:rFonts w:hint="eastAsia"/>
                <w:kern w:val="0"/>
                <w:szCs w:val="21"/>
              </w:rPr>
              <w:t>2.3.2</w:t>
            </w:r>
          </w:p>
        </w:tc>
        <w:tc>
          <w:tcPr>
            <w:tcW w:w="1808" w:type="dxa"/>
            <w:vAlign w:val="center"/>
          </w:tcPr>
          <w:p w14:paraId="54DA3861">
            <w:pPr>
              <w:spacing w:line="360" w:lineRule="auto"/>
              <w:ind w:left="38" w:leftChars="18"/>
              <w:jc w:val="center"/>
              <w:rPr>
                <w:rFonts w:hint="eastAsia"/>
                <w:szCs w:val="21"/>
              </w:rPr>
            </w:pPr>
            <w:r>
              <w:rPr>
                <w:rFonts w:hint="eastAsia"/>
                <w:kern w:val="0"/>
                <w:szCs w:val="21"/>
              </w:rPr>
              <w:t>招标文件修改发出的形式</w:t>
            </w:r>
          </w:p>
        </w:tc>
        <w:tc>
          <w:tcPr>
            <w:tcW w:w="6655" w:type="dxa"/>
            <w:vAlign w:val="center"/>
          </w:tcPr>
          <w:p w14:paraId="52B1B4DC">
            <w:pPr>
              <w:spacing w:line="360" w:lineRule="auto"/>
              <w:ind w:left="38" w:leftChars="18"/>
              <w:rPr>
                <w:rFonts w:hint="eastAsia"/>
                <w:szCs w:val="21"/>
              </w:rPr>
            </w:pPr>
            <w:r>
              <w:rPr>
                <w:rFonts w:hint="eastAsia"/>
                <w:szCs w:val="21"/>
              </w:rPr>
              <w:t>通过公共电子交易平台发布</w:t>
            </w:r>
            <w:r>
              <w:rPr>
                <w:rFonts w:hint="eastAsia"/>
                <w:kern w:val="0"/>
                <w:szCs w:val="21"/>
              </w:rPr>
              <w:t>且同时在原公告媒体发布变更公告</w:t>
            </w:r>
          </w:p>
        </w:tc>
      </w:tr>
      <w:tr w14:paraId="33B9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31" w:type="dxa"/>
            <w:vAlign w:val="center"/>
          </w:tcPr>
          <w:p w14:paraId="3195DEA7">
            <w:pPr>
              <w:spacing w:line="360" w:lineRule="auto"/>
              <w:ind w:left="38" w:leftChars="18"/>
              <w:jc w:val="center"/>
              <w:rPr>
                <w:rFonts w:hint="eastAsia"/>
                <w:szCs w:val="21"/>
              </w:rPr>
            </w:pPr>
            <w:r>
              <w:rPr>
                <w:rFonts w:hint="eastAsia"/>
                <w:kern w:val="0"/>
                <w:szCs w:val="21"/>
              </w:rPr>
              <w:t>2.3.3</w:t>
            </w:r>
          </w:p>
        </w:tc>
        <w:tc>
          <w:tcPr>
            <w:tcW w:w="1808" w:type="dxa"/>
            <w:vAlign w:val="center"/>
          </w:tcPr>
          <w:p w14:paraId="5D8B8229">
            <w:pPr>
              <w:spacing w:line="360" w:lineRule="auto"/>
              <w:ind w:left="38" w:leftChars="18"/>
              <w:jc w:val="center"/>
              <w:rPr>
                <w:rFonts w:hint="eastAsia"/>
                <w:szCs w:val="21"/>
              </w:rPr>
            </w:pPr>
            <w:r>
              <w:rPr>
                <w:rFonts w:hint="eastAsia"/>
                <w:kern w:val="0"/>
                <w:szCs w:val="21"/>
              </w:rPr>
              <w:t>投标人确认收到招标文件修改</w:t>
            </w:r>
          </w:p>
        </w:tc>
        <w:tc>
          <w:tcPr>
            <w:tcW w:w="6655" w:type="dxa"/>
            <w:vAlign w:val="center"/>
          </w:tcPr>
          <w:p w14:paraId="4C0D4266">
            <w:pPr>
              <w:spacing w:line="360" w:lineRule="auto"/>
              <w:ind w:left="38" w:leftChars="18"/>
              <w:rPr>
                <w:rFonts w:hint="eastAsia"/>
                <w:szCs w:val="21"/>
              </w:rPr>
            </w:pPr>
            <w:r>
              <w:rPr>
                <w:rFonts w:hint="eastAsia"/>
                <w:kern w:val="10"/>
                <w:szCs w:val="21"/>
              </w:rPr>
              <w:t>投标人自行在公共资源交易中心平台交易平台系统查看，无需确认。</w:t>
            </w:r>
          </w:p>
        </w:tc>
      </w:tr>
      <w:tr w14:paraId="4293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60D84061">
            <w:pPr>
              <w:spacing w:line="360" w:lineRule="auto"/>
              <w:ind w:left="38" w:leftChars="18"/>
              <w:jc w:val="center"/>
              <w:rPr>
                <w:rFonts w:hint="eastAsia"/>
                <w:szCs w:val="21"/>
              </w:rPr>
            </w:pPr>
            <w:r>
              <w:rPr>
                <w:rFonts w:hint="eastAsia"/>
                <w:szCs w:val="21"/>
              </w:rPr>
              <w:t>3.5.1</w:t>
            </w:r>
          </w:p>
        </w:tc>
        <w:tc>
          <w:tcPr>
            <w:tcW w:w="1808" w:type="dxa"/>
            <w:vAlign w:val="center"/>
          </w:tcPr>
          <w:p w14:paraId="632AA16D">
            <w:pPr>
              <w:spacing w:line="360" w:lineRule="auto"/>
              <w:ind w:left="38" w:leftChars="18"/>
              <w:jc w:val="center"/>
              <w:rPr>
                <w:rFonts w:hint="eastAsia"/>
                <w:szCs w:val="21"/>
              </w:rPr>
            </w:pPr>
            <w:r>
              <w:rPr>
                <w:rFonts w:hint="eastAsia"/>
                <w:szCs w:val="21"/>
              </w:rPr>
              <w:t>投标保证金</w:t>
            </w:r>
          </w:p>
        </w:tc>
        <w:tc>
          <w:tcPr>
            <w:tcW w:w="6655" w:type="dxa"/>
            <w:vAlign w:val="center"/>
          </w:tcPr>
          <w:p w14:paraId="757FCAC8">
            <w:pPr>
              <w:spacing w:line="360" w:lineRule="auto"/>
              <w:ind w:left="38" w:leftChars="18"/>
              <w:rPr>
                <w:rFonts w:hint="eastAsia"/>
                <w:kern w:val="0"/>
                <w:szCs w:val="21"/>
              </w:rPr>
            </w:pPr>
            <w:r>
              <w:rPr>
                <w:rFonts w:hint="eastAsia"/>
                <w:kern w:val="0"/>
                <w:szCs w:val="21"/>
              </w:rPr>
              <w:t>不要求，根据豫财购[2019]4号文件的相关规定，</w:t>
            </w:r>
            <w:r>
              <w:rPr>
                <w:rFonts w:hint="eastAsia"/>
                <w:szCs w:val="21"/>
              </w:rPr>
              <w:t>本次招标</w:t>
            </w:r>
            <w:r>
              <w:rPr>
                <w:rFonts w:hint="eastAsia"/>
                <w:kern w:val="0"/>
                <w:szCs w:val="21"/>
              </w:rPr>
              <w:t>不收取投标保证金，需提供投标承诺函。</w:t>
            </w:r>
          </w:p>
        </w:tc>
      </w:tr>
      <w:tr w14:paraId="186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2657269B">
            <w:pPr>
              <w:spacing w:line="360" w:lineRule="auto"/>
              <w:ind w:left="38" w:leftChars="18"/>
              <w:jc w:val="center"/>
              <w:rPr>
                <w:rFonts w:hint="eastAsia"/>
                <w:szCs w:val="21"/>
              </w:rPr>
            </w:pPr>
            <w:r>
              <w:rPr>
                <w:rFonts w:hint="eastAsia"/>
                <w:szCs w:val="21"/>
              </w:rPr>
              <w:t>3.6.1</w:t>
            </w:r>
          </w:p>
        </w:tc>
        <w:tc>
          <w:tcPr>
            <w:tcW w:w="1808" w:type="dxa"/>
            <w:vAlign w:val="center"/>
          </w:tcPr>
          <w:p w14:paraId="7870DBC7">
            <w:pPr>
              <w:spacing w:line="360" w:lineRule="auto"/>
              <w:ind w:left="38" w:leftChars="18"/>
              <w:jc w:val="center"/>
              <w:rPr>
                <w:rFonts w:hint="eastAsia"/>
                <w:szCs w:val="21"/>
              </w:rPr>
            </w:pPr>
            <w:r>
              <w:rPr>
                <w:rFonts w:hint="eastAsia"/>
                <w:szCs w:val="21"/>
              </w:rPr>
              <w:t>投标有效期</w:t>
            </w:r>
          </w:p>
        </w:tc>
        <w:tc>
          <w:tcPr>
            <w:tcW w:w="6655" w:type="dxa"/>
            <w:vAlign w:val="center"/>
          </w:tcPr>
          <w:p w14:paraId="1CAC4879">
            <w:pPr>
              <w:spacing w:line="360" w:lineRule="auto"/>
              <w:ind w:left="38" w:leftChars="18"/>
              <w:rPr>
                <w:rFonts w:hint="eastAsia"/>
                <w:kern w:val="0"/>
                <w:szCs w:val="21"/>
              </w:rPr>
            </w:pPr>
            <w:bookmarkStart w:id="117" w:name="OLE_LINK15"/>
            <w:r>
              <w:rPr>
                <w:rFonts w:hint="eastAsia"/>
                <w:szCs w:val="21"/>
              </w:rPr>
              <w:t xml:space="preserve">递交投标文件的截止之日起 </w:t>
            </w:r>
            <w:r>
              <w:rPr>
                <w:rFonts w:hint="eastAsia"/>
                <w:szCs w:val="21"/>
                <w:u w:val="single"/>
              </w:rPr>
              <w:t xml:space="preserve">90 </w:t>
            </w:r>
            <w:r>
              <w:rPr>
                <w:rFonts w:hint="eastAsia"/>
                <w:szCs w:val="21"/>
              </w:rPr>
              <w:t>日历天</w:t>
            </w:r>
            <w:bookmarkEnd w:id="117"/>
          </w:p>
        </w:tc>
      </w:tr>
      <w:tr w14:paraId="1515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760D94FA">
            <w:pPr>
              <w:spacing w:line="360" w:lineRule="auto"/>
              <w:ind w:left="38" w:leftChars="18"/>
              <w:jc w:val="center"/>
              <w:rPr>
                <w:rFonts w:hint="eastAsia"/>
                <w:szCs w:val="21"/>
              </w:rPr>
            </w:pPr>
            <w:r>
              <w:rPr>
                <w:rFonts w:hint="eastAsia"/>
                <w:szCs w:val="21"/>
              </w:rPr>
              <w:t>3.7.3</w:t>
            </w:r>
          </w:p>
        </w:tc>
        <w:tc>
          <w:tcPr>
            <w:tcW w:w="1808" w:type="dxa"/>
            <w:vAlign w:val="center"/>
          </w:tcPr>
          <w:p w14:paraId="02192140">
            <w:pPr>
              <w:spacing w:line="360" w:lineRule="auto"/>
              <w:ind w:left="38" w:leftChars="18"/>
              <w:jc w:val="center"/>
              <w:rPr>
                <w:rFonts w:hint="eastAsia"/>
                <w:szCs w:val="21"/>
              </w:rPr>
            </w:pPr>
            <w:r>
              <w:rPr>
                <w:rFonts w:hint="eastAsia"/>
                <w:szCs w:val="21"/>
              </w:rPr>
              <w:t>签字盖章要求</w:t>
            </w:r>
          </w:p>
        </w:tc>
        <w:tc>
          <w:tcPr>
            <w:tcW w:w="6655" w:type="dxa"/>
            <w:vAlign w:val="center"/>
          </w:tcPr>
          <w:p w14:paraId="191D536B">
            <w:pPr>
              <w:spacing w:line="360" w:lineRule="auto"/>
              <w:rPr>
                <w:rFonts w:hint="eastAsia"/>
                <w:b/>
                <w:szCs w:val="21"/>
              </w:rPr>
            </w:pPr>
            <w:r>
              <w:rPr>
                <w:rFonts w:hint="eastAsia"/>
                <w:szCs w:val="21"/>
              </w:rPr>
              <w:t>按招标文件及投标文件格式要求签字或盖章。</w:t>
            </w:r>
          </w:p>
        </w:tc>
      </w:tr>
      <w:tr w14:paraId="2B64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0474CDDD">
            <w:pPr>
              <w:spacing w:line="360" w:lineRule="auto"/>
              <w:ind w:left="38" w:leftChars="18"/>
              <w:jc w:val="center"/>
              <w:rPr>
                <w:rFonts w:hint="eastAsia"/>
                <w:szCs w:val="21"/>
              </w:rPr>
            </w:pPr>
            <w:bookmarkStart w:id="118" w:name="OLE_LINK27" w:colFirst="2" w:colLast="2"/>
            <w:r>
              <w:rPr>
                <w:rFonts w:hint="eastAsia"/>
                <w:szCs w:val="21"/>
              </w:rPr>
              <w:t>4.2.1</w:t>
            </w:r>
          </w:p>
        </w:tc>
        <w:tc>
          <w:tcPr>
            <w:tcW w:w="1808" w:type="dxa"/>
            <w:vAlign w:val="center"/>
          </w:tcPr>
          <w:p w14:paraId="100A4A2A">
            <w:pPr>
              <w:tabs>
                <w:tab w:val="left" w:pos="720"/>
              </w:tabs>
              <w:spacing w:line="360" w:lineRule="auto"/>
              <w:jc w:val="center"/>
              <w:rPr>
                <w:rFonts w:hint="eastAsia"/>
                <w:szCs w:val="21"/>
              </w:rPr>
            </w:pPr>
            <w:r>
              <w:rPr>
                <w:rFonts w:hint="eastAsia"/>
                <w:kern w:val="0"/>
                <w:szCs w:val="21"/>
              </w:rPr>
              <w:t>投标</w:t>
            </w:r>
            <w:r>
              <w:rPr>
                <w:rFonts w:hint="eastAsia"/>
                <w:spacing w:val="-2"/>
                <w:kern w:val="0"/>
                <w:szCs w:val="21"/>
              </w:rPr>
              <w:t>截</w:t>
            </w:r>
            <w:r>
              <w:rPr>
                <w:rFonts w:hint="eastAsia"/>
                <w:kern w:val="0"/>
                <w:szCs w:val="21"/>
              </w:rPr>
              <w:t>止</w:t>
            </w:r>
            <w:r>
              <w:rPr>
                <w:rFonts w:hint="eastAsia"/>
                <w:spacing w:val="-2"/>
                <w:kern w:val="0"/>
                <w:szCs w:val="21"/>
              </w:rPr>
              <w:t>时</w:t>
            </w:r>
            <w:r>
              <w:rPr>
                <w:rFonts w:hint="eastAsia"/>
                <w:kern w:val="0"/>
                <w:szCs w:val="21"/>
              </w:rPr>
              <w:t>间</w:t>
            </w:r>
          </w:p>
        </w:tc>
        <w:tc>
          <w:tcPr>
            <w:tcW w:w="6655" w:type="dxa"/>
            <w:vAlign w:val="center"/>
          </w:tcPr>
          <w:p w14:paraId="75CBED8B">
            <w:pPr>
              <w:spacing w:line="360" w:lineRule="auto"/>
              <w:rPr>
                <w:rFonts w:hint="eastAsia"/>
                <w:szCs w:val="21"/>
              </w:rPr>
            </w:pPr>
            <w:r>
              <w:rPr>
                <w:rFonts w:hint="eastAsia"/>
                <w:szCs w:val="21"/>
              </w:rPr>
              <w:t>2025年</w:t>
            </w:r>
            <w:r>
              <w:rPr>
                <w:rFonts w:hint="eastAsia"/>
                <w:szCs w:val="21"/>
                <w:lang w:val="en-US" w:eastAsia="zh-CN"/>
              </w:rPr>
              <w:t>9</w:t>
            </w:r>
            <w:r>
              <w:rPr>
                <w:rFonts w:hint="eastAsia"/>
                <w:szCs w:val="21"/>
              </w:rPr>
              <w:t>月</w:t>
            </w:r>
            <w:r>
              <w:rPr>
                <w:rFonts w:hint="eastAsia"/>
                <w:szCs w:val="21"/>
                <w:lang w:val="en-US" w:eastAsia="zh-CN"/>
              </w:rPr>
              <w:t>22</w:t>
            </w:r>
            <w:r>
              <w:rPr>
                <w:rFonts w:hint="eastAsia"/>
                <w:szCs w:val="21"/>
              </w:rPr>
              <w:t>日09时00分（北京时间）</w:t>
            </w:r>
          </w:p>
        </w:tc>
      </w:tr>
      <w:tr w14:paraId="7F88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591F87DC">
            <w:pPr>
              <w:spacing w:line="360" w:lineRule="auto"/>
              <w:ind w:left="38" w:leftChars="18"/>
              <w:jc w:val="center"/>
              <w:rPr>
                <w:rFonts w:hint="eastAsia"/>
                <w:szCs w:val="21"/>
              </w:rPr>
            </w:pPr>
            <w:r>
              <w:rPr>
                <w:rFonts w:hint="eastAsia"/>
                <w:szCs w:val="21"/>
              </w:rPr>
              <w:t>4.2.2</w:t>
            </w:r>
          </w:p>
        </w:tc>
        <w:tc>
          <w:tcPr>
            <w:tcW w:w="1808" w:type="dxa"/>
            <w:vAlign w:val="center"/>
          </w:tcPr>
          <w:p w14:paraId="29ABF1D1">
            <w:pPr>
              <w:tabs>
                <w:tab w:val="left" w:pos="720"/>
              </w:tabs>
              <w:spacing w:line="360" w:lineRule="auto"/>
              <w:jc w:val="center"/>
              <w:rPr>
                <w:rFonts w:hint="eastAsia"/>
                <w:kern w:val="0"/>
                <w:szCs w:val="21"/>
              </w:rPr>
            </w:pPr>
            <w:r>
              <w:rPr>
                <w:rFonts w:hint="eastAsia"/>
                <w:kern w:val="0"/>
                <w:szCs w:val="21"/>
              </w:rPr>
              <w:t>递交投标文件地点及方式</w:t>
            </w:r>
          </w:p>
        </w:tc>
        <w:tc>
          <w:tcPr>
            <w:tcW w:w="6655" w:type="dxa"/>
            <w:vAlign w:val="center"/>
          </w:tcPr>
          <w:p w14:paraId="4468B22C">
            <w:pPr>
              <w:pStyle w:val="9"/>
              <w:spacing w:line="360" w:lineRule="auto"/>
              <w:rPr>
                <w:rFonts w:hint="eastAsia"/>
                <w:szCs w:val="21"/>
              </w:rPr>
            </w:pPr>
            <w:bookmarkStart w:id="119" w:name="OLE_LINK29"/>
            <w:r>
              <w:rPr>
                <w:rFonts w:hint="eastAsia"/>
                <w:szCs w:val="21"/>
              </w:rPr>
              <w:t>本项目采用“远程不见面”开启方式，投标人无需到现场，投标人应当在投标截止时间前，投标人凭CA数字证书，进入河南省公共资源交易中心系统平台，按提示在规定时间内进行文件解密、答疑澄清等。未在规定时间内解密投标文件的投标人，采购人拒收其投标文件。</w:t>
            </w:r>
            <w:bookmarkEnd w:id="119"/>
          </w:p>
        </w:tc>
      </w:tr>
      <w:bookmarkEnd w:id="118"/>
      <w:tr w14:paraId="522A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227DEC63">
            <w:pPr>
              <w:spacing w:line="360" w:lineRule="auto"/>
              <w:ind w:left="38" w:leftChars="18"/>
              <w:jc w:val="center"/>
              <w:rPr>
                <w:rFonts w:hint="eastAsia"/>
                <w:szCs w:val="21"/>
              </w:rPr>
            </w:pPr>
            <w:bookmarkStart w:id="120" w:name="OLE_LINK28" w:colFirst="2" w:colLast="2"/>
            <w:r>
              <w:rPr>
                <w:rFonts w:hint="eastAsia"/>
                <w:szCs w:val="21"/>
              </w:rPr>
              <w:t>5.1.1</w:t>
            </w:r>
          </w:p>
        </w:tc>
        <w:tc>
          <w:tcPr>
            <w:tcW w:w="1808" w:type="dxa"/>
            <w:vAlign w:val="center"/>
          </w:tcPr>
          <w:p w14:paraId="53E265A9">
            <w:pPr>
              <w:spacing w:line="360" w:lineRule="auto"/>
              <w:ind w:left="38" w:leftChars="18"/>
              <w:jc w:val="center"/>
              <w:rPr>
                <w:rFonts w:hint="eastAsia"/>
                <w:szCs w:val="21"/>
              </w:rPr>
            </w:pPr>
            <w:r>
              <w:rPr>
                <w:rFonts w:hint="eastAsia"/>
                <w:szCs w:val="21"/>
              </w:rPr>
              <w:t>开标时间和开标地点</w:t>
            </w:r>
          </w:p>
        </w:tc>
        <w:tc>
          <w:tcPr>
            <w:tcW w:w="6655" w:type="dxa"/>
            <w:vAlign w:val="center"/>
          </w:tcPr>
          <w:p w14:paraId="2F62DA1D">
            <w:pPr>
              <w:spacing w:line="360" w:lineRule="auto"/>
              <w:rPr>
                <w:rFonts w:hint="eastAsia"/>
                <w:szCs w:val="21"/>
              </w:rPr>
            </w:pPr>
            <w:bookmarkStart w:id="121" w:name="OLE_LINK30"/>
            <w:r>
              <w:rPr>
                <w:rFonts w:hint="eastAsia"/>
                <w:szCs w:val="21"/>
              </w:rPr>
              <w:t>开标时间：同投标截止时间</w:t>
            </w:r>
          </w:p>
          <w:p w14:paraId="7E565C94">
            <w:pPr>
              <w:spacing w:line="360" w:lineRule="auto"/>
              <w:rPr>
                <w:rFonts w:hint="eastAsia"/>
                <w:szCs w:val="21"/>
              </w:rPr>
            </w:pPr>
            <w:r>
              <w:rPr>
                <w:rFonts w:hint="eastAsia"/>
                <w:szCs w:val="21"/>
              </w:rPr>
              <w:t>开标地点：同投标截止地点</w:t>
            </w:r>
            <w:bookmarkEnd w:id="121"/>
          </w:p>
        </w:tc>
      </w:tr>
      <w:tr w14:paraId="7B5A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46C937C5">
            <w:pPr>
              <w:spacing w:line="360" w:lineRule="auto"/>
              <w:ind w:left="38" w:leftChars="18"/>
              <w:jc w:val="center"/>
              <w:rPr>
                <w:rFonts w:hint="eastAsia"/>
                <w:szCs w:val="21"/>
              </w:rPr>
            </w:pPr>
            <w:bookmarkStart w:id="122" w:name="OLE_LINK31" w:colFirst="2" w:colLast="2"/>
            <w:r>
              <w:rPr>
                <w:rFonts w:hint="eastAsia"/>
                <w:szCs w:val="21"/>
              </w:rPr>
              <w:t>5.2.1</w:t>
            </w:r>
          </w:p>
        </w:tc>
        <w:tc>
          <w:tcPr>
            <w:tcW w:w="1808" w:type="dxa"/>
            <w:vAlign w:val="center"/>
          </w:tcPr>
          <w:p w14:paraId="306D5C21">
            <w:pPr>
              <w:spacing w:line="360" w:lineRule="auto"/>
              <w:ind w:left="38" w:leftChars="18"/>
              <w:jc w:val="center"/>
              <w:rPr>
                <w:rFonts w:hint="eastAsia"/>
                <w:szCs w:val="21"/>
              </w:rPr>
            </w:pPr>
            <w:r>
              <w:rPr>
                <w:rFonts w:hint="eastAsia"/>
                <w:szCs w:val="21"/>
              </w:rPr>
              <w:t>资格审查</w:t>
            </w:r>
          </w:p>
        </w:tc>
        <w:tc>
          <w:tcPr>
            <w:tcW w:w="6655" w:type="dxa"/>
            <w:vAlign w:val="center"/>
          </w:tcPr>
          <w:p w14:paraId="6E74367A">
            <w:pPr>
              <w:spacing w:line="360" w:lineRule="auto"/>
              <w:ind w:left="38" w:leftChars="18"/>
              <w:jc w:val="left"/>
              <w:rPr>
                <w:rFonts w:hint="eastAsia"/>
                <w:szCs w:val="21"/>
              </w:rPr>
            </w:pPr>
            <w:r>
              <w:rPr>
                <w:rFonts w:hint="eastAsia"/>
                <w:szCs w:val="21"/>
              </w:rPr>
              <w:t>由采购人或采购代理机构对投标人的资格进行审查，资格审查人员由采购人或采购代理机构人员共</w:t>
            </w:r>
            <w:r>
              <w:rPr>
                <w:rFonts w:hint="eastAsia"/>
                <w:szCs w:val="21"/>
                <w:u w:val="single"/>
              </w:rPr>
              <w:t xml:space="preserve"> 1 </w:t>
            </w:r>
            <w:r>
              <w:rPr>
                <w:rFonts w:hint="eastAsia"/>
                <w:szCs w:val="21"/>
              </w:rPr>
              <w:t>人（含）以上单数组成。</w:t>
            </w:r>
          </w:p>
        </w:tc>
      </w:tr>
      <w:tr w14:paraId="152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6684744B">
            <w:pPr>
              <w:spacing w:line="360" w:lineRule="auto"/>
              <w:ind w:left="38" w:leftChars="18"/>
              <w:jc w:val="center"/>
              <w:rPr>
                <w:rFonts w:hint="eastAsia"/>
                <w:szCs w:val="21"/>
              </w:rPr>
            </w:pPr>
            <w:r>
              <w:rPr>
                <w:rFonts w:hint="eastAsia"/>
                <w:szCs w:val="21"/>
              </w:rPr>
              <w:t>5.3.1</w:t>
            </w:r>
          </w:p>
        </w:tc>
        <w:tc>
          <w:tcPr>
            <w:tcW w:w="1808" w:type="dxa"/>
            <w:vAlign w:val="center"/>
          </w:tcPr>
          <w:p w14:paraId="026E4F2C">
            <w:pPr>
              <w:spacing w:line="360" w:lineRule="auto"/>
              <w:ind w:left="38" w:leftChars="18"/>
              <w:jc w:val="center"/>
              <w:rPr>
                <w:rFonts w:hint="eastAsia"/>
                <w:szCs w:val="21"/>
              </w:rPr>
            </w:pPr>
            <w:r>
              <w:rPr>
                <w:rFonts w:hint="eastAsia"/>
                <w:szCs w:val="21"/>
              </w:rPr>
              <w:t>评标委员会组成</w:t>
            </w:r>
          </w:p>
        </w:tc>
        <w:tc>
          <w:tcPr>
            <w:tcW w:w="6655" w:type="dxa"/>
            <w:vAlign w:val="center"/>
          </w:tcPr>
          <w:p w14:paraId="5CDFEA01">
            <w:pPr>
              <w:spacing w:line="360" w:lineRule="auto"/>
              <w:rPr>
                <w:rFonts w:hint="eastAsia"/>
                <w:szCs w:val="21"/>
              </w:rPr>
            </w:pPr>
            <w:r>
              <w:rPr>
                <w:rFonts w:hint="eastAsia"/>
                <w:szCs w:val="21"/>
              </w:rPr>
              <w:t>评标委员会由采购人代表和评审专家组成，成员人数应当为5人及以上单数，其中评审专家不得少于成员总数的三分之二，从省级以上财政部门设立的政府采购评审专家库中，通过随机方式抽取。</w:t>
            </w:r>
          </w:p>
        </w:tc>
      </w:tr>
      <w:bookmarkEnd w:id="120"/>
      <w:bookmarkEnd w:id="122"/>
      <w:tr w14:paraId="0144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31" w:type="dxa"/>
            <w:vAlign w:val="center"/>
          </w:tcPr>
          <w:p w14:paraId="2F83A060">
            <w:pPr>
              <w:spacing w:line="360" w:lineRule="auto"/>
              <w:ind w:left="38" w:leftChars="18"/>
              <w:jc w:val="center"/>
              <w:rPr>
                <w:rFonts w:hint="eastAsia"/>
                <w:szCs w:val="21"/>
              </w:rPr>
            </w:pPr>
            <w:r>
              <w:rPr>
                <w:rFonts w:hint="eastAsia"/>
                <w:szCs w:val="21"/>
              </w:rPr>
              <w:t>5.3.4</w:t>
            </w:r>
          </w:p>
        </w:tc>
        <w:tc>
          <w:tcPr>
            <w:tcW w:w="1808" w:type="dxa"/>
            <w:vAlign w:val="center"/>
          </w:tcPr>
          <w:p w14:paraId="67AC54D8">
            <w:pPr>
              <w:spacing w:line="360" w:lineRule="auto"/>
              <w:ind w:left="38" w:leftChars="18"/>
              <w:jc w:val="center"/>
              <w:rPr>
                <w:rFonts w:hint="eastAsia"/>
                <w:szCs w:val="21"/>
              </w:rPr>
            </w:pPr>
            <w:r>
              <w:rPr>
                <w:rFonts w:hint="eastAsia"/>
                <w:kern w:val="0"/>
                <w:szCs w:val="21"/>
              </w:rPr>
              <w:t>评标</w:t>
            </w:r>
            <w:r>
              <w:rPr>
                <w:rFonts w:hint="eastAsia"/>
                <w:spacing w:val="-2"/>
                <w:kern w:val="0"/>
                <w:szCs w:val="21"/>
              </w:rPr>
              <w:t>委</w:t>
            </w:r>
            <w:r>
              <w:rPr>
                <w:rFonts w:hint="eastAsia"/>
                <w:kern w:val="0"/>
                <w:szCs w:val="21"/>
              </w:rPr>
              <w:t>员</w:t>
            </w:r>
            <w:r>
              <w:rPr>
                <w:rFonts w:hint="eastAsia"/>
                <w:spacing w:val="-2"/>
                <w:kern w:val="0"/>
                <w:szCs w:val="21"/>
              </w:rPr>
              <w:t>会</w:t>
            </w:r>
            <w:r>
              <w:rPr>
                <w:rFonts w:hint="eastAsia"/>
                <w:kern w:val="0"/>
                <w:szCs w:val="21"/>
              </w:rPr>
              <w:t>推</w:t>
            </w:r>
            <w:r>
              <w:rPr>
                <w:rFonts w:hint="eastAsia"/>
                <w:spacing w:val="-2"/>
                <w:kern w:val="0"/>
                <w:szCs w:val="21"/>
              </w:rPr>
              <w:t>荐</w:t>
            </w:r>
            <w:r>
              <w:rPr>
                <w:rFonts w:hint="eastAsia"/>
                <w:kern w:val="0"/>
                <w:szCs w:val="21"/>
              </w:rPr>
              <w:t>中</w:t>
            </w:r>
            <w:r>
              <w:rPr>
                <w:rFonts w:hint="eastAsia"/>
                <w:spacing w:val="-2"/>
                <w:kern w:val="0"/>
                <w:szCs w:val="21"/>
              </w:rPr>
              <w:t>标</w:t>
            </w:r>
            <w:r>
              <w:rPr>
                <w:rFonts w:hint="eastAsia"/>
                <w:kern w:val="0"/>
                <w:szCs w:val="21"/>
              </w:rPr>
              <w:t>候</w:t>
            </w:r>
            <w:r>
              <w:rPr>
                <w:rFonts w:hint="eastAsia"/>
                <w:spacing w:val="-2"/>
                <w:kern w:val="0"/>
                <w:szCs w:val="21"/>
              </w:rPr>
              <w:t>选</w:t>
            </w:r>
            <w:r>
              <w:rPr>
                <w:rFonts w:hint="eastAsia"/>
                <w:kern w:val="0"/>
                <w:szCs w:val="21"/>
              </w:rPr>
              <w:t>人的</w:t>
            </w:r>
            <w:r>
              <w:rPr>
                <w:rFonts w:hint="eastAsia"/>
                <w:spacing w:val="-2"/>
                <w:kern w:val="0"/>
                <w:szCs w:val="21"/>
              </w:rPr>
              <w:t>人</w:t>
            </w:r>
            <w:r>
              <w:rPr>
                <w:rFonts w:hint="eastAsia"/>
                <w:kern w:val="0"/>
                <w:szCs w:val="21"/>
              </w:rPr>
              <w:t>数</w:t>
            </w:r>
          </w:p>
        </w:tc>
        <w:tc>
          <w:tcPr>
            <w:tcW w:w="6655" w:type="dxa"/>
            <w:vAlign w:val="center"/>
          </w:tcPr>
          <w:p w14:paraId="593FD7BB">
            <w:pPr>
              <w:spacing w:line="360" w:lineRule="auto"/>
              <w:rPr>
                <w:rFonts w:hint="eastAsia"/>
                <w:szCs w:val="21"/>
              </w:rPr>
            </w:pPr>
            <w:r>
              <w:rPr>
                <w:rFonts w:hint="eastAsia"/>
                <w:szCs w:val="21"/>
              </w:rPr>
              <w:t>评标委员会推荐中标候选人的人数：按综合评分由高到低的顺序推荐3名</w:t>
            </w:r>
          </w:p>
        </w:tc>
      </w:tr>
      <w:tr w14:paraId="55DB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Align w:val="center"/>
          </w:tcPr>
          <w:p w14:paraId="29821DE3">
            <w:pPr>
              <w:spacing w:line="360" w:lineRule="auto"/>
              <w:ind w:left="38" w:leftChars="18"/>
              <w:jc w:val="center"/>
              <w:rPr>
                <w:rFonts w:hint="eastAsia"/>
                <w:szCs w:val="21"/>
              </w:rPr>
            </w:pPr>
            <w:r>
              <w:rPr>
                <w:rFonts w:hint="eastAsia"/>
                <w:szCs w:val="21"/>
              </w:rPr>
              <w:t>6.4.1</w:t>
            </w:r>
          </w:p>
        </w:tc>
        <w:tc>
          <w:tcPr>
            <w:tcW w:w="1808" w:type="dxa"/>
            <w:vAlign w:val="center"/>
          </w:tcPr>
          <w:p w14:paraId="7FC14B5A">
            <w:pPr>
              <w:spacing w:line="360" w:lineRule="auto"/>
              <w:ind w:left="38" w:leftChars="18"/>
              <w:jc w:val="center"/>
              <w:rPr>
                <w:rFonts w:hint="eastAsia"/>
                <w:szCs w:val="21"/>
              </w:rPr>
            </w:pPr>
            <w:r>
              <w:rPr>
                <w:rFonts w:hint="eastAsia"/>
                <w:szCs w:val="21"/>
              </w:rPr>
              <w:t>履约保证金</w:t>
            </w:r>
          </w:p>
        </w:tc>
        <w:tc>
          <w:tcPr>
            <w:tcW w:w="6655" w:type="dxa"/>
            <w:vAlign w:val="center"/>
          </w:tcPr>
          <w:p w14:paraId="3574C8C0">
            <w:pPr>
              <w:tabs>
                <w:tab w:val="left" w:pos="720"/>
                <w:tab w:val="left" w:pos="1904"/>
              </w:tabs>
              <w:spacing w:line="360" w:lineRule="auto"/>
              <w:rPr>
                <w:rFonts w:hint="eastAsia"/>
                <w:szCs w:val="21"/>
              </w:rPr>
            </w:pPr>
            <w:r>
              <w:rPr>
                <w:rFonts w:hint="eastAsia"/>
                <w:szCs w:val="21"/>
              </w:rPr>
              <w:t>履约保证金的形式：</w:t>
            </w:r>
            <w:r>
              <w:rPr>
                <w:rFonts w:hint="eastAsia"/>
                <w:szCs w:val="21"/>
                <w:shd w:val="clear" w:color="auto" w:fill="FFFFFF"/>
              </w:rPr>
              <w:t>支票、汇票、本票或者金融机构、担保机构出具的保函等非现金形式提交。</w:t>
            </w:r>
          </w:p>
          <w:p w14:paraId="5C463228">
            <w:pPr>
              <w:spacing w:line="360" w:lineRule="auto"/>
              <w:rPr>
                <w:rFonts w:hint="eastAsia"/>
                <w:szCs w:val="21"/>
              </w:rPr>
            </w:pPr>
            <w:r>
              <w:rPr>
                <w:rFonts w:hint="eastAsia"/>
                <w:szCs w:val="21"/>
              </w:rPr>
              <w:t>履约保证金的金额：中标合同价的2%</w:t>
            </w:r>
          </w:p>
          <w:p w14:paraId="0BFF2285">
            <w:pPr>
              <w:spacing w:line="360" w:lineRule="auto"/>
              <w:rPr>
                <w:rFonts w:hint="eastAsia"/>
                <w:szCs w:val="21"/>
              </w:rPr>
            </w:pPr>
            <w:r>
              <w:rPr>
                <w:rFonts w:hint="eastAsia"/>
                <w:szCs w:val="21"/>
              </w:rPr>
              <w:t>履约担保的退还：在中标人完成其合同义务包括任何保证义务后30天内，招标人将履约保证金退还中标人。</w:t>
            </w:r>
          </w:p>
        </w:tc>
      </w:tr>
      <w:tr w14:paraId="4D21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31" w:type="dxa"/>
            <w:vAlign w:val="center"/>
          </w:tcPr>
          <w:p w14:paraId="71ADFF8E">
            <w:pPr>
              <w:spacing w:line="360" w:lineRule="auto"/>
              <w:ind w:left="38" w:leftChars="18"/>
              <w:jc w:val="center"/>
              <w:rPr>
                <w:rFonts w:hint="eastAsia"/>
                <w:szCs w:val="21"/>
              </w:rPr>
            </w:pPr>
            <w:r>
              <w:rPr>
                <w:rFonts w:hint="eastAsia"/>
                <w:szCs w:val="21"/>
              </w:rPr>
              <w:t>9.1</w:t>
            </w:r>
          </w:p>
        </w:tc>
        <w:tc>
          <w:tcPr>
            <w:tcW w:w="1808" w:type="dxa"/>
            <w:vAlign w:val="center"/>
          </w:tcPr>
          <w:p w14:paraId="3B31E671">
            <w:pPr>
              <w:spacing w:line="360" w:lineRule="auto"/>
              <w:ind w:left="38" w:leftChars="18"/>
              <w:jc w:val="center"/>
              <w:rPr>
                <w:rFonts w:hint="eastAsia"/>
                <w:szCs w:val="21"/>
              </w:rPr>
            </w:pPr>
            <w:r>
              <w:rPr>
                <w:rFonts w:hint="eastAsia"/>
                <w:szCs w:val="21"/>
              </w:rPr>
              <w:t>是否采用电子招标投标</w:t>
            </w:r>
          </w:p>
        </w:tc>
        <w:tc>
          <w:tcPr>
            <w:tcW w:w="6655" w:type="dxa"/>
            <w:vAlign w:val="center"/>
          </w:tcPr>
          <w:p w14:paraId="046260A2">
            <w:pPr>
              <w:spacing w:line="360" w:lineRule="auto"/>
              <w:ind w:left="38" w:leftChars="18"/>
              <w:rPr>
                <w:rFonts w:hint="eastAsia"/>
                <w:szCs w:val="21"/>
              </w:rPr>
            </w:pPr>
            <w:r>
              <w:rPr>
                <w:rFonts w:hint="eastAsia"/>
                <w:szCs w:val="21"/>
              </w:rPr>
              <w:t>是</w:t>
            </w:r>
          </w:p>
        </w:tc>
      </w:tr>
      <w:tr w14:paraId="7CE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14:paraId="290EDFAD">
            <w:pPr>
              <w:spacing w:line="360" w:lineRule="auto"/>
              <w:ind w:left="38" w:leftChars="18"/>
              <w:jc w:val="center"/>
              <w:rPr>
                <w:rFonts w:hint="eastAsia"/>
                <w:szCs w:val="21"/>
              </w:rPr>
            </w:pPr>
            <w:r>
              <w:rPr>
                <w:rFonts w:hint="eastAsia"/>
                <w:szCs w:val="21"/>
              </w:rPr>
              <w:t>9.2</w:t>
            </w:r>
          </w:p>
        </w:tc>
        <w:tc>
          <w:tcPr>
            <w:tcW w:w="1808" w:type="dxa"/>
            <w:vAlign w:val="center"/>
          </w:tcPr>
          <w:p w14:paraId="3AA7C86A">
            <w:pPr>
              <w:spacing w:line="360" w:lineRule="auto"/>
              <w:ind w:left="38" w:leftChars="18"/>
              <w:jc w:val="center"/>
              <w:rPr>
                <w:rFonts w:hint="eastAsia"/>
                <w:szCs w:val="21"/>
              </w:rPr>
            </w:pPr>
            <w:r>
              <w:rPr>
                <w:rFonts w:hint="eastAsia"/>
                <w:szCs w:val="21"/>
              </w:rPr>
              <w:t>其他</w:t>
            </w:r>
          </w:p>
        </w:tc>
        <w:tc>
          <w:tcPr>
            <w:tcW w:w="6655" w:type="dxa"/>
            <w:vAlign w:val="center"/>
          </w:tcPr>
          <w:p w14:paraId="51C058CF">
            <w:pPr>
              <w:numPr>
                <w:ilvl w:val="0"/>
                <w:numId w:val="2"/>
              </w:numPr>
              <w:spacing w:line="360" w:lineRule="auto"/>
              <w:ind w:left="38" w:leftChars="18"/>
              <w:rPr>
                <w:rFonts w:hint="eastAsia"/>
                <w:szCs w:val="21"/>
              </w:rPr>
            </w:pPr>
            <w:r>
              <w:rPr>
                <w:rFonts w:hint="eastAsia"/>
                <w:szCs w:val="21"/>
                <w:shd w:val="clear" w:color="auto" w:fill="FFFFFF"/>
              </w:rPr>
              <w:t>具体参照河南省招标投标协会关于印发《河南省招标代理服务收费指导意见》（豫招协【2023】002号）中的服务招标收费标准，按照中标价收费由中标人一次性支付给采购代理机构代理服务费用。</w:t>
            </w:r>
          </w:p>
          <w:p w14:paraId="5B1BCFEB">
            <w:pPr>
              <w:numPr>
                <w:ilvl w:val="0"/>
                <w:numId w:val="2"/>
              </w:numPr>
              <w:spacing w:line="360" w:lineRule="auto"/>
              <w:ind w:left="38" w:leftChars="18"/>
              <w:rPr>
                <w:rFonts w:hint="eastAsia"/>
                <w:szCs w:val="21"/>
              </w:rPr>
            </w:pPr>
            <w:bookmarkStart w:id="123" w:name="OLE_LINK32"/>
            <w:r>
              <w:rPr>
                <w:rFonts w:hint="eastAsia"/>
                <w:szCs w:val="21"/>
              </w:rPr>
              <w:t>投标人</w:t>
            </w:r>
            <w:r>
              <w:rPr>
                <w:rFonts w:hint="eastAsia"/>
              </w:rPr>
              <w:t>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bookmarkStart w:id="124" w:name="OLE_LINK43"/>
            <w:r>
              <w:rPr>
                <w:rFonts w:hint="eastAsia"/>
              </w:rPr>
              <w:t>接收质疑函联系部门：中金泰富工程管理有限公司联系电话：0371-55022102通讯地址：郑州市经七路15号中亨大厦712室。</w:t>
            </w:r>
            <w:bookmarkEnd w:id="124"/>
            <w:r>
              <w:rPr>
                <w:rFonts w:hint="eastAsia"/>
              </w:rPr>
              <w:t>在法定质疑期内</w:t>
            </w:r>
            <w:r>
              <w:rPr>
                <w:rFonts w:hint="eastAsia"/>
                <w:szCs w:val="21"/>
              </w:rPr>
              <w:t>投标人</w:t>
            </w:r>
            <w:r>
              <w:rPr>
                <w:rFonts w:hint="eastAsia"/>
              </w:rPr>
              <w:t>针对同一采购程序环节的质疑应当一次性提出。</w:t>
            </w:r>
          </w:p>
          <w:bookmarkEnd w:id="123"/>
          <w:p w14:paraId="55045897">
            <w:pPr>
              <w:numPr>
                <w:ilvl w:val="0"/>
                <w:numId w:val="2"/>
              </w:numPr>
              <w:spacing w:line="360" w:lineRule="auto"/>
              <w:ind w:left="38" w:leftChars="18"/>
              <w:rPr>
                <w:rFonts w:hint="eastAsia"/>
                <w:szCs w:val="21"/>
              </w:rPr>
            </w:pPr>
            <w:r>
              <w:rPr>
                <w:rFonts w:hint="eastAsia"/>
                <w:szCs w:val="21"/>
              </w:rPr>
              <w:t>本项目中标公告将同时在《河南省政府采购网》《中国政府采购网》《河南省公共资源交易中心网》上发布。</w:t>
            </w:r>
          </w:p>
          <w:p w14:paraId="22C77A1D">
            <w:pPr>
              <w:numPr>
                <w:ilvl w:val="0"/>
                <w:numId w:val="2"/>
              </w:numPr>
              <w:spacing w:line="360" w:lineRule="auto"/>
              <w:ind w:left="38" w:leftChars="18"/>
              <w:rPr>
                <w:rFonts w:hint="eastAsia"/>
                <w:b/>
                <w:bCs/>
                <w:szCs w:val="21"/>
              </w:rPr>
            </w:pPr>
            <w:r>
              <w:rPr>
                <w:rFonts w:hint="eastAsia"/>
                <w:szCs w:val="21"/>
              </w:rPr>
              <w:t>采购人或采购代理机构应当自政府采购合同签订之日起2个工作日内，将政府采购合同在省级以上人民政府财政部门指定的媒体上公告，但政府采购合同中涉及国家秘密、商业秘密的内容除外。</w:t>
            </w:r>
          </w:p>
          <w:p w14:paraId="59A47B88">
            <w:pPr>
              <w:numPr>
                <w:ilvl w:val="0"/>
                <w:numId w:val="2"/>
              </w:numPr>
              <w:spacing w:line="360" w:lineRule="auto"/>
              <w:ind w:left="38" w:leftChars="18"/>
              <w:rPr>
                <w:rFonts w:hint="eastAsia"/>
                <w:szCs w:val="21"/>
              </w:rPr>
            </w:pPr>
            <w:r>
              <w:rPr>
                <w:rFonts w:hint="eastAsia"/>
                <w:szCs w:val="21"/>
              </w:rPr>
              <w:t>为落实河南省财政厅关于印发深入推进政府采购合同融资工作实施方案的通知（豫财办﹝2020﹞33号），中标人可以持政府采购合同向融资机构申请贷款，具体详见附件。</w:t>
            </w:r>
          </w:p>
          <w:p w14:paraId="1623F7CF">
            <w:pPr>
              <w:numPr>
                <w:ilvl w:val="0"/>
                <w:numId w:val="2"/>
              </w:numPr>
              <w:spacing w:line="360" w:lineRule="auto"/>
              <w:ind w:left="38" w:leftChars="18"/>
              <w:rPr>
                <w:rFonts w:hint="eastAsia"/>
                <w:szCs w:val="21"/>
              </w:rPr>
            </w:pPr>
            <w:r>
              <w:rPr>
                <w:rFonts w:hint="eastAsia"/>
                <w:szCs w:val="21"/>
              </w:rPr>
              <w:t>本项目采购的所有标的物属于</w:t>
            </w:r>
            <w:r>
              <w:rPr>
                <w:rFonts w:hint="eastAsia" w:ascii="宋体" w:hAnsi="宋体" w:eastAsia="宋体" w:cs="宋体"/>
                <w:b w:val="0"/>
                <w:i w:val="0"/>
                <w:caps w:val="0"/>
                <w:color w:val="000000"/>
                <w:spacing w:val="-15"/>
                <w:sz w:val="21"/>
                <w:szCs w:val="21"/>
              </w:rPr>
              <w:t>软件和信息技术服</w:t>
            </w:r>
            <w:r>
              <w:rPr>
                <w:rFonts w:hint="eastAsia" w:ascii="宋体" w:hAnsi="宋体" w:eastAsia="宋体" w:cs="宋体"/>
                <w:b w:val="0"/>
                <w:i w:val="0"/>
                <w:caps w:val="0"/>
                <w:color w:val="000000"/>
                <w:spacing w:val="8"/>
                <w:sz w:val="21"/>
                <w:szCs w:val="21"/>
              </w:rPr>
              <w:t>务业</w:t>
            </w:r>
            <w:r>
              <w:rPr>
                <w:rFonts w:hint="eastAsia"/>
                <w:szCs w:val="21"/>
              </w:rPr>
              <w:t>。</w:t>
            </w:r>
          </w:p>
        </w:tc>
      </w:tr>
    </w:tbl>
    <w:p w14:paraId="33C1D98D">
      <w:pPr>
        <w:spacing w:line="360" w:lineRule="auto"/>
        <w:rPr>
          <w:rFonts w:hint="eastAsia"/>
        </w:rPr>
      </w:pPr>
    </w:p>
    <w:p w14:paraId="2EC3BBAF">
      <w:pPr>
        <w:pStyle w:val="3"/>
        <w:numPr>
          <w:ilvl w:val="0"/>
          <w:numId w:val="3"/>
        </w:numPr>
        <w:tabs>
          <w:tab w:val="left" w:pos="721"/>
          <w:tab w:val="left" w:pos="2880"/>
          <w:tab w:val="left" w:pos="3780"/>
        </w:tabs>
        <w:jc w:val="both"/>
        <w:rPr>
          <w:rFonts w:hint="eastAsia" w:ascii="宋体" w:hAnsi="宋体"/>
          <w:szCs w:val="24"/>
        </w:rPr>
      </w:pPr>
      <w:bookmarkStart w:id="125" w:name="_Toc12329"/>
      <w:bookmarkStart w:id="126" w:name="_Toc312133543"/>
      <w:r>
        <w:rPr>
          <w:rFonts w:hint="eastAsia" w:ascii="宋体" w:hAnsi="宋体"/>
          <w:szCs w:val="24"/>
        </w:rPr>
        <w:br w:type="page"/>
      </w:r>
      <w:bookmarkStart w:id="127" w:name="_Toc16821"/>
      <w:bookmarkStart w:id="128" w:name="_Toc13245"/>
      <w:bookmarkStart w:id="129" w:name="_Toc20"/>
      <w:r>
        <w:rPr>
          <w:rFonts w:hint="eastAsia" w:ascii="宋体" w:hAnsi="宋体"/>
          <w:szCs w:val="24"/>
        </w:rPr>
        <w:t>总则</w:t>
      </w:r>
      <w:bookmarkEnd w:id="125"/>
      <w:bookmarkEnd w:id="126"/>
      <w:bookmarkEnd w:id="127"/>
      <w:bookmarkEnd w:id="128"/>
      <w:bookmarkEnd w:id="129"/>
    </w:p>
    <w:p w14:paraId="2603EAAA">
      <w:pPr>
        <w:pStyle w:val="4"/>
        <w:numPr>
          <w:ilvl w:val="1"/>
          <w:numId w:val="4"/>
        </w:numPr>
        <w:rPr>
          <w:rFonts w:hint="eastAsia"/>
        </w:rPr>
      </w:pPr>
      <w:bookmarkStart w:id="130" w:name="_Toc14496"/>
      <w:bookmarkStart w:id="131" w:name="_Toc28377"/>
      <w:bookmarkStart w:id="132" w:name="_Toc2081"/>
      <w:bookmarkStart w:id="133" w:name="_Toc4828"/>
      <w:bookmarkStart w:id="134" w:name="_Toc2427"/>
      <w:bookmarkStart w:id="135" w:name="_Toc20743"/>
      <w:bookmarkStart w:id="136" w:name="_Toc2572"/>
      <w:bookmarkStart w:id="137" w:name="_Toc15062"/>
      <w:bookmarkStart w:id="138" w:name="_Toc28200"/>
      <w:bookmarkStart w:id="139" w:name="_Toc5358"/>
      <w:bookmarkStart w:id="140" w:name="_Toc30513"/>
      <w:bookmarkStart w:id="141" w:name="_Toc30432"/>
      <w:bookmarkStart w:id="142" w:name="_Toc27597"/>
      <w:r>
        <w:rPr>
          <w:rFonts w:hint="eastAsia"/>
        </w:rPr>
        <w:t>适用范围</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F4E372C">
      <w:pPr>
        <w:numPr>
          <w:ilvl w:val="2"/>
          <w:numId w:val="4"/>
        </w:numPr>
        <w:spacing w:line="360" w:lineRule="auto"/>
        <w:ind w:firstLine="420" w:firstLineChars="200"/>
        <w:rPr>
          <w:rFonts w:hint="eastAsia"/>
          <w:szCs w:val="21"/>
        </w:rPr>
      </w:pPr>
      <w:r>
        <w:rPr>
          <w:rFonts w:hint="eastAsia"/>
          <w:kern w:val="0"/>
          <w:szCs w:val="21"/>
        </w:rPr>
        <w:t xml:space="preserve"> 根据《中华人民共和国政府采购法》《中华人民共和国政府采购法实施条例》等有关法律、法规和规章的规定，本项目已具备招标条件，现对本项目进行公开招标，</w:t>
      </w:r>
      <w:r>
        <w:rPr>
          <w:rFonts w:hint="eastAsia"/>
          <w:szCs w:val="21"/>
        </w:rPr>
        <w:t>本招标文件仅适用于本次招标文件中所述的货物及其伴随的服务。</w:t>
      </w:r>
    </w:p>
    <w:p w14:paraId="76A794C2">
      <w:pPr>
        <w:numPr>
          <w:ilvl w:val="2"/>
          <w:numId w:val="4"/>
        </w:numPr>
        <w:spacing w:line="360" w:lineRule="auto"/>
        <w:ind w:firstLine="420" w:firstLineChars="200"/>
        <w:rPr>
          <w:rFonts w:hint="eastAsia"/>
          <w:szCs w:val="21"/>
        </w:rPr>
      </w:pPr>
      <w:r>
        <w:rPr>
          <w:rFonts w:hint="eastAsia"/>
          <w:szCs w:val="21"/>
        </w:rPr>
        <w:t>本招标文件的解释权归采购人所有。</w:t>
      </w:r>
    </w:p>
    <w:p w14:paraId="1602C765">
      <w:pPr>
        <w:pStyle w:val="4"/>
        <w:numPr>
          <w:ilvl w:val="1"/>
          <w:numId w:val="4"/>
        </w:numPr>
        <w:rPr>
          <w:rFonts w:hint="eastAsia"/>
        </w:rPr>
      </w:pPr>
      <w:bookmarkStart w:id="143" w:name="_Toc6443"/>
      <w:bookmarkStart w:id="144" w:name="_Toc13654"/>
      <w:bookmarkStart w:id="145" w:name="_Toc19192"/>
      <w:bookmarkStart w:id="146" w:name="_Toc16716"/>
      <w:bookmarkStart w:id="147" w:name="_Toc18955"/>
      <w:bookmarkStart w:id="148" w:name="_Toc29424"/>
      <w:r>
        <w:rPr>
          <w:rFonts w:hint="eastAsia"/>
        </w:rPr>
        <w:t>招标项目概况</w:t>
      </w:r>
      <w:bookmarkEnd w:id="143"/>
      <w:bookmarkEnd w:id="144"/>
      <w:bookmarkEnd w:id="145"/>
      <w:bookmarkEnd w:id="146"/>
      <w:bookmarkEnd w:id="147"/>
      <w:bookmarkEnd w:id="148"/>
    </w:p>
    <w:p w14:paraId="03A83D58">
      <w:pPr>
        <w:numPr>
          <w:ilvl w:val="2"/>
          <w:numId w:val="4"/>
        </w:numPr>
        <w:spacing w:line="360" w:lineRule="auto"/>
        <w:ind w:firstLine="420" w:firstLineChars="200"/>
        <w:rPr>
          <w:rFonts w:hint="eastAsia"/>
          <w:szCs w:val="21"/>
        </w:rPr>
      </w:pPr>
      <w:r>
        <w:rPr>
          <w:rFonts w:hint="eastAsia"/>
          <w:szCs w:val="21"/>
        </w:rPr>
        <w:t>采购人：投标人须知前附表中所述的、依法进行政府采购的国家机关、事业单位、团体组织。</w:t>
      </w:r>
    </w:p>
    <w:p w14:paraId="68460FAA">
      <w:pPr>
        <w:numPr>
          <w:ilvl w:val="2"/>
          <w:numId w:val="4"/>
        </w:numPr>
        <w:spacing w:line="360" w:lineRule="auto"/>
        <w:ind w:firstLine="420" w:firstLineChars="200"/>
        <w:rPr>
          <w:rFonts w:hint="eastAsia"/>
          <w:szCs w:val="21"/>
        </w:rPr>
      </w:pPr>
      <w:r>
        <w:rPr>
          <w:rFonts w:hint="eastAsia"/>
          <w:szCs w:val="21"/>
        </w:rPr>
        <w:t>采购代理机构：受采购人委托组织招标活动，在招标过程中负有相应责任的社会中介组织。</w:t>
      </w:r>
    </w:p>
    <w:p w14:paraId="62D3DD86">
      <w:pPr>
        <w:numPr>
          <w:ilvl w:val="2"/>
          <w:numId w:val="4"/>
        </w:numPr>
        <w:spacing w:line="360" w:lineRule="auto"/>
        <w:ind w:firstLine="420" w:firstLineChars="200"/>
        <w:rPr>
          <w:rFonts w:hint="eastAsia"/>
          <w:szCs w:val="21"/>
        </w:rPr>
      </w:pPr>
      <w:r>
        <w:rPr>
          <w:rFonts w:hint="eastAsia"/>
          <w:szCs w:val="21"/>
        </w:rPr>
        <w:t>项目名称及项目编号：见投标人须知前附表。</w:t>
      </w:r>
    </w:p>
    <w:p w14:paraId="74E645AD">
      <w:pPr>
        <w:numPr>
          <w:ilvl w:val="2"/>
          <w:numId w:val="4"/>
        </w:numPr>
        <w:spacing w:line="360" w:lineRule="auto"/>
        <w:ind w:firstLine="420" w:firstLineChars="200"/>
        <w:rPr>
          <w:rFonts w:hint="eastAsia"/>
          <w:szCs w:val="21"/>
        </w:rPr>
      </w:pPr>
      <w:r>
        <w:rPr>
          <w:rFonts w:hint="eastAsia"/>
          <w:szCs w:val="21"/>
        </w:rPr>
        <w:t>服务内容：见投标人须知前附表。</w:t>
      </w:r>
    </w:p>
    <w:p w14:paraId="410C028C">
      <w:pPr>
        <w:numPr>
          <w:ilvl w:val="2"/>
          <w:numId w:val="4"/>
        </w:numPr>
        <w:spacing w:line="360" w:lineRule="auto"/>
        <w:ind w:firstLine="420" w:firstLineChars="200"/>
        <w:rPr>
          <w:rFonts w:hint="eastAsia"/>
          <w:szCs w:val="21"/>
        </w:rPr>
      </w:pPr>
      <w:r>
        <w:rPr>
          <w:rFonts w:hint="eastAsia"/>
          <w:szCs w:val="21"/>
        </w:rPr>
        <w:t>资金来源及预算金额（最高投标限价）：见投标人须知前附表。</w:t>
      </w:r>
    </w:p>
    <w:p w14:paraId="04CA82B7">
      <w:pPr>
        <w:numPr>
          <w:ilvl w:val="2"/>
          <w:numId w:val="4"/>
        </w:numPr>
        <w:spacing w:line="360" w:lineRule="auto"/>
        <w:ind w:firstLine="420" w:firstLineChars="200"/>
        <w:rPr>
          <w:rFonts w:hint="eastAsia"/>
          <w:szCs w:val="21"/>
        </w:rPr>
      </w:pPr>
      <w:r>
        <w:rPr>
          <w:rFonts w:hint="eastAsia"/>
          <w:szCs w:val="21"/>
        </w:rPr>
        <w:t>服务时间：见投标人须知前附表。</w:t>
      </w:r>
    </w:p>
    <w:p w14:paraId="68054F64">
      <w:pPr>
        <w:numPr>
          <w:ilvl w:val="2"/>
          <w:numId w:val="4"/>
        </w:numPr>
        <w:spacing w:line="360" w:lineRule="auto"/>
        <w:ind w:firstLine="420" w:firstLineChars="200"/>
        <w:rPr>
          <w:rFonts w:hint="eastAsia"/>
          <w:szCs w:val="21"/>
        </w:rPr>
      </w:pPr>
      <w:r>
        <w:rPr>
          <w:rFonts w:hint="eastAsia"/>
          <w:szCs w:val="21"/>
        </w:rPr>
        <w:t>服务地点：见投标人须知前附表。</w:t>
      </w:r>
    </w:p>
    <w:p w14:paraId="2EC38FE9">
      <w:pPr>
        <w:numPr>
          <w:ilvl w:val="2"/>
          <w:numId w:val="4"/>
        </w:numPr>
        <w:spacing w:line="360" w:lineRule="auto"/>
        <w:ind w:firstLine="420" w:firstLineChars="200"/>
        <w:rPr>
          <w:rFonts w:hint="eastAsia"/>
          <w:szCs w:val="21"/>
        </w:rPr>
      </w:pPr>
      <w:r>
        <w:rPr>
          <w:rFonts w:hint="eastAsia"/>
          <w:szCs w:val="21"/>
        </w:rPr>
        <w:t>服务标准：见投标人须知前附表。</w:t>
      </w:r>
    </w:p>
    <w:p w14:paraId="1F74BCA8">
      <w:pPr>
        <w:numPr>
          <w:ilvl w:val="2"/>
          <w:numId w:val="4"/>
        </w:numPr>
        <w:spacing w:line="360" w:lineRule="auto"/>
        <w:ind w:firstLine="420" w:firstLineChars="200"/>
        <w:rPr>
          <w:rFonts w:hint="eastAsia"/>
          <w:szCs w:val="21"/>
        </w:rPr>
      </w:pPr>
      <w:r>
        <w:rPr>
          <w:rFonts w:hint="eastAsia"/>
          <w:szCs w:val="21"/>
        </w:rPr>
        <w:t>合格投标人</w:t>
      </w:r>
    </w:p>
    <w:p w14:paraId="5C7638CB">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具有独立承担民事责任能力的法人、其他组织或者自然人；</w:t>
      </w:r>
    </w:p>
    <w:p w14:paraId="3E6DB3B0">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具有良好的商业信誉和健全的财务会计制度；</w:t>
      </w:r>
    </w:p>
    <w:p w14:paraId="11934F04">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具有履行合同所必需的设备和专业技术能力；</w:t>
      </w:r>
    </w:p>
    <w:p w14:paraId="5B4B0B64">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有依法缴纳税收和社会保障资金的良好记录；</w:t>
      </w:r>
    </w:p>
    <w:p w14:paraId="6900EB58">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参加政府采购活动前三年内，在经营活动中没有重大违法记录；</w:t>
      </w:r>
    </w:p>
    <w:p w14:paraId="63517E03">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具有完善的售后服务体系，并能承担招标项目的供货和相关服务的企业；</w:t>
      </w:r>
    </w:p>
    <w:p w14:paraId="485C1A46">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已通过正规渠道获得本项目的招标文件；</w:t>
      </w:r>
    </w:p>
    <w:p w14:paraId="1068B976">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未被依法暂停或者取消投标资格；</w:t>
      </w:r>
    </w:p>
    <w:p w14:paraId="1C9FA907">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未被责令停产停业、暂扣或者吊销许可证、暂扣或者吊销执照；</w:t>
      </w:r>
    </w:p>
    <w:p w14:paraId="34243E1F">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法律、行政法规规定的其他条件。</w:t>
      </w:r>
    </w:p>
    <w:p w14:paraId="6D6FF729">
      <w:pPr>
        <w:numPr>
          <w:ilvl w:val="0"/>
          <w:numId w:val="5"/>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投标人须知前附表规定的其他条件。</w:t>
      </w:r>
    </w:p>
    <w:p w14:paraId="7B69E02B">
      <w:pPr>
        <w:numPr>
          <w:ilvl w:val="2"/>
          <w:numId w:val="4"/>
        </w:numPr>
        <w:spacing w:line="360" w:lineRule="auto"/>
        <w:ind w:firstLine="420" w:firstLineChars="200"/>
        <w:rPr>
          <w:rFonts w:hint="eastAsia"/>
          <w:szCs w:val="21"/>
        </w:rPr>
      </w:pPr>
      <w:r>
        <w:rPr>
          <w:rFonts w:hint="eastAsia"/>
          <w:szCs w:val="21"/>
        </w:rPr>
        <w:t>投标人须知前附表规定接受联合体投标的，联合体除应符合本章第1.2.10项和投标人 须知前附表的要求外，还应遵守以下规定：</w:t>
      </w:r>
    </w:p>
    <w:p w14:paraId="27C9D0A0">
      <w:pPr>
        <w:numPr>
          <w:ilvl w:val="0"/>
          <w:numId w:val="6"/>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联合体各方均应符合《中华人民共和国政府采购法》第二十二条规定的条件。</w:t>
      </w:r>
    </w:p>
    <w:p w14:paraId="04555F79">
      <w:pPr>
        <w:numPr>
          <w:ilvl w:val="0"/>
          <w:numId w:val="6"/>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采购人根据采购项目对投标人的特殊要求，联合体中至少应当有一方符合相关规定。</w:t>
      </w:r>
    </w:p>
    <w:p w14:paraId="5A3C5429">
      <w:pPr>
        <w:numPr>
          <w:ilvl w:val="0"/>
          <w:numId w:val="6"/>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联合体各方应签订联合体协议书，明确约定联合体各方承担的工作和相应的责任，并将联合体协议书作为投标文件的一部分内容提交。</w:t>
      </w:r>
    </w:p>
    <w:p w14:paraId="5775935E">
      <w:pPr>
        <w:numPr>
          <w:ilvl w:val="0"/>
          <w:numId w:val="6"/>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联合体中有同类资质的投标人按照联合体分工承担相同工作的，按照较低的资质等级确定联合体的资质等级。</w:t>
      </w:r>
    </w:p>
    <w:p w14:paraId="54A35B42">
      <w:pPr>
        <w:numPr>
          <w:ilvl w:val="2"/>
          <w:numId w:val="4"/>
        </w:numPr>
        <w:spacing w:line="360" w:lineRule="auto"/>
        <w:ind w:firstLine="420" w:firstLineChars="200"/>
        <w:rPr>
          <w:rFonts w:hint="eastAsia"/>
          <w:szCs w:val="21"/>
        </w:rPr>
      </w:pPr>
      <w:r>
        <w:rPr>
          <w:rFonts w:hint="eastAsia"/>
          <w:szCs w:val="21"/>
        </w:rPr>
        <w:t>投标人不得存在下列情形之一：</w:t>
      </w:r>
    </w:p>
    <w:p w14:paraId="19F0D237">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与采购人存在利害关系且可能影响招标公正性；</w:t>
      </w:r>
    </w:p>
    <w:p w14:paraId="46BD3649">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与本招标项目的其他投标人为同一个单位负责人；</w:t>
      </w:r>
    </w:p>
    <w:p w14:paraId="63D87219">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与本招标项目的其他投标人存在控股、管理关系；</w:t>
      </w:r>
    </w:p>
    <w:p w14:paraId="019E1249">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为本招标项目提供过整体设计、规范编制或者项目管理、监理、检测等服务；</w:t>
      </w:r>
    </w:p>
    <w:p w14:paraId="28302EE5">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为本招标项目的招标代理机构；</w:t>
      </w:r>
    </w:p>
    <w:p w14:paraId="5B83DFC2">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投标人以他人名义投标、串通投标、以行贿手段牟取中标，或在投标中弄虚作假的；</w:t>
      </w:r>
    </w:p>
    <w:p w14:paraId="6D2BEF47">
      <w:pPr>
        <w:numPr>
          <w:ilvl w:val="0"/>
          <w:numId w:val="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法律法规规定的其他情形。</w:t>
      </w:r>
    </w:p>
    <w:p w14:paraId="49875833">
      <w:pPr>
        <w:numPr>
          <w:ilvl w:val="2"/>
          <w:numId w:val="4"/>
        </w:numPr>
        <w:topLinePunct/>
        <w:spacing w:line="360" w:lineRule="auto"/>
        <w:ind w:firstLine="420" w:firstLineChars="200"/>
        <w:rPr>
          <w:rFonts w:hint="eastAsia"/>
          <w:kern w:val="0"/>
          <w:szCs w:val="21"/>
        </w:rPr>
      </w:pPr>
      <w:r>
        <w:rPr>
          <w:rFonts w:hint="eastAsia"/>
          <w:kern w:val="0"/>
          <w:szCs w:val="21"/>
        </w:rPr>
        <w:t>有下列情形之一的，视为投标人串通投标，其投标文件无效：</w:t>
      </w:r>
    </w:p>
    <w:p w14:paraId="684F7B76">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不同投标人的投标文件由同一单位或者个人编制；</w:t>
      </w:r>
    </w:p>
    <w:p w14:paraId="4C403D07">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不同投标人委托同一单位或者个人办理投标事宜；</w:t>
      </w:r>
    </w:p>
    <w:p w14:paraId="5772033E">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不同投标人的投标文件载明的项目管理成员或者联系人员为同一人；</w:t>
      </w:r>
    </w:p>
    <w:p w14:paraId="4BF34939">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不同投标人的投标文件异常一致或者响应报价呈规律性差异；</w:t>
      </w:r>
    </w:p>
    <w:p w14:paraId="4F4CF888">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不同投标人的投标文件相互混装；</w:t>
      </w:r>
    </w:p>
    <w:p w14:paraId="56E757AA">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不同投标人的入围保证金从同一单位或者个人的账户转出；</w:t>
      </w:r>
    </w:p>
    <w:p w14:paraId="041B01EF">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不同投标人的电子投标文件上传计算机的网卡MAC地址、CPU序列号和硬盘序列号等硬件信息相同的；</w:t>
      </w:r>
    </w:p>
    <w:p w14:paraId="1B25D3E4">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不同投标人的投标文件由同一电子设备编制、打印加密或者上传；</w:t>
      </w:r>
    </w:p>
    <w:p w14:paraId="153E8FCC">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不同投标人的投标文件由同一电子设备打印、复印；</w:t>
      </w:r>
    </w:p>
    <w:p w14:paraId="1C1F40E8">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不同投标人的投标文件由同一人送达或者分发，或者不同投标人联系人为同一人或不同联系人的联系电话一致的；</w:t>
      </w:r>
    </w:p>
    <w:p w14:paraId="7609B5CE">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不同投标人的投标文件的内容存在两处以上细节错误一致；</w:t>
      </w:r>
    </w:p>
    <w:p w14:paraId="6D90A282">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不同投标人的法定代表人、委托代理人、项目经理、项目负责人等由同一个单位缴纳社会保险或者领取报酬的；</w:t>
      </w:r>
    </w:p>
    <w:p w14:paraId="60B74D09">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不同投标人投标文件中法定代表人或者负责人签字出自同一人之手；</w:t>
      </w:r>
    </w:p>
    <w:p w14:paraId="73133D30">
      <w:pPr>
        <w:numPr>
          <w:ilvl w:val="0"/>
          <w:numId w:val="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其它涉嫌串通的情形。</w:t>
      </w:r>
    </w:p>
    <w:p w14:paraId="441F625C">
      <w:pPr>
        <w:numPr>
          <w:ilvl w:val="2"/>
          <w:numId w:val="4"/>
        </w:numPr>
        <w:spacing w:line="360" w:lineRule="auto"/>
        <w:ind w:firstLine="420" w:firstLineChars="200"/>
        <w:rPr>
          <w:rFonts w:hint="eastAsia"/>
          <w:szCs w:val="21"/>
        </w:rPr>
      </w:pPr>
      <w:r>
        <w:rPr>
          <w:rFonts w:hint="eastAsia"/>
          <w:szCs w:val="21"/>
        </w:rPr>
        <w:t>中标人：接到并接受中标通知，最终被授予合同的投标人。</w:t>
      </w:r>
    </w:p>
    <w:p w14:paraId="030D2A15">
      <w:pPr>
        <w:numPr>
          <w:ilvl w:val="2"/>
          <w:numId w:val="4"/>
        </w:numPr>
        <w:spacing w:line="360" w:lineRule="auto"/>
        <w:ind w:firstLine="420" w:firstLineChars="200"/>
        <w:rPr>
          <w:rFonts w:hint="eastAsia"/>
          <w:szCs w:val="21"/>
        </w:rPr>
      </w:pPr>
      <w:r>
        <w:rPr>
          <w:rFonts w:hint="eastAsia"/>
          <w:szCs w:val="21"/>
        </w:rPr>
        <w:t>投标文件：指投标人根据招标文件提交的所有文件。</w:t>
      </w:r>
    </w:p>
    <w:p w14:paraId="2B14261F">
      <w:pPr>
        <w:pStyle w:val="4"/>
        <w:numPr>
          <w:ilvl w:val="1"/>
          <w:numId w:val="4"/>
        </w:numPr>
        <w:rPr>
          <w:rFonts w:hint="eastAsia"/>
        </w:rPr>
      </w:pPr>
      <w:bookmarkStart w:id="149" w:name="_Toc9501"/>
      <w:bookmarkStart w:id="150" w:name="_Toc25850"/>
      <w:bookmarkStart w:id="151" w:name="_Toc8166"/>
      <w:bookmarkStart w:id="152" w:name="_Toc29288"/>
      <w:bookmarkStart w:id="153" w:name="_Toc31273"/>
      <w:bookmarkStart w:id="154" w:name="_Toc4927"/>
      <w:r>
        <w:rPr>
          <w:rFonts w:hint="eastAsia"/>
        </w:rPr>
        <w:t>投标费用</w:t>
      </w:r>
      <w:bookmarkEnd w:id="149"/>
      <w:bookmarkEnd w:id="150"/>
      <w:bookmarkEnd w:id="151"/>
      <w:bookmarkEnd w:id="152"/>
      <w:bookmarkEnd w:id="153"/>
      <w:bookmarkEnd w:id="154"/>
    </w:p>
    <w:p w14:paraId="3F073979">
      <w:pPr>
        <w:numPr>
          <w:ilvl w:val="2"/>
          <w:numId w:val="4"/>
        </w:numPr>
        <w:spacing w:line="360" w:lineRule="auto"/>
        <w:ind w:firstLine="420" w:firstLineChars="200"/>
        <w:rPr>
          <w:rFonts w:hint="eastAsia"/>
          <w:szCs w:val="21"/>
        </w:rPr>
      </w:pPr>
      <w:bookmarkStart w:id="155" w:name="_Toc22953398"/>
      <w:bookmarkEnd w:id="155"/>
      <w:bookmarkStart w:id="156" w:name="_Toc312133544"/>
      <w:r>
        <w:rPr>
          <w:rFonts w:hint="eastAsia"/>
          <w:szCs w:val="21"/>
        </w:rPr>
        <w:t>投标人准备和参加投标活动发生的费用自理。</w:t>
      </w:r>
    </w:p>
    <w:p w14:paraId="1334A902">
      <w:pPr>
        <w:pStyle w:val="4"/>
        <w:numPr>
          <w:ilvl w:val="1"/>
          <w:numId w:val="4"/>
        </w:numPr>
        <w:rPr>
          <w:rFonts w:hint="eastAsia"/>
        </w:rPr>
      </w:pPr>
      <w:bookmarkStart w:id="157" w:name="_Toc27093"/>
      <w:bookmarkStart w:id="158" w:name="_Toc1130"/>
      <w:bookmarkStart w:id="159" w:name="_Toc27047"/>
      <w:bookmarkStart w:id="160" w:name="_Toc13660"/>
      <w:bookmarkStart w:id="161" w:name="_Toc18613"/>
      <w:bookmarkStart w:id="162" w:name="_Toc13179"/>
      <w:bookmarkStart w:id="163" w:name="_Toc28829"/>
      <w:bookmarkStart w:id="164" w:name="_Toc7192"/>
      <w:bookmarkStart w:id="165" w:name="_Toc31440"/>
      <w:bookmarkStart w:id="166" w:name="_Toc12301"/>
      <w:bookmarkStart w:id="167" w:name="_Toc23865"/>
      <w:bookmarkStart w:id="168" w:name="_Toc28577"/>
      <w:bookmarkStart w:id="169" w:name="_Toc30990"/>
      <w:r>
        <w:rPr>
          <w:rFonts w:hint="eastAsia"/>
        </w:rPr>
        <w:t>现场考察或答疑会</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6644613B">
      <w:pPr>
        <w:numPr>
          <w:ilvl w:val="2"/>
          <w:numId w:val="4"/>
        </w:numPr>
        <w:spacing w:line="360" w:lineRule="auto"/>
        <w:ind w:firstLine="420" w:firstLineChars="200"/>
        <w:rPr>
          <w:rFonts w:hint="eastAsia"/>
          <w:szCs w:val="21"/>
        </w:rPr>
      </w:pPr>
      <w:r>
        <w:rPr>
          <w:rFonts w:hint="eastAsia"/>
          <w:szCs w:val="21"/>
        </w:rPr>
        <w:t>现场考察：投标人须知前附表规定组织现场考察的，采购人按投标人须知前附表规定的时间、地点组织投标人考察项目现场。部分投标人未按时参加现场考察的，不影响现场考察的正常进行。</w:t>
      </w:r>
    </w:p>
    <w:p w14:paraId="6852F46A">
      <w:pPr>
        <w:numPr>
          <w:ilvl w:val="2"/>
          <w:numId w:val="4"/>
        </w:numPr>
        <w:spacing w:line="360" w:lineRule="auto"/>
        <w:ind w:firstLine="420" w:firstLineChars="200"/>
        <w:rPr>
          <w:rFonts w:hint="eastAsia"/>
          <w:szCs w:val="21"/>
        </w:rPr>
      </w:pPr>
      <w:r>
        <w:rPr>
          <w:rFonts w:hint="eastAsia"/>
          <w:szCs w:val="21"/>
        </w:rPr>
        <w:t>投标人现场考察发生的费用自理。</w:t>
      </w:r>
    </w:p>
    <w:p w14:paraId="51777A7F">
      <w:pPr>
        <w:numPr>
          <w:ilvl w:val="2"/>
          <w:numId w:val="4"/>
        </w:numPr>
        <w:spacing w:line="360" w:lineRule="auto"/>
        <w:ind w:firstLine="420" w:firstLineChars="200"/>
        <w:rPr>
          <w:rFonts w:hint="eastAsia"/>
          <w:szCs w:val="21"/>
        </w:rPr>
      </w:pPr>
      <w:r>
        <w:rPr>
          <w:rFonts w:hint="eastAsia"/>
          <w:szCs w:val="21"/>
        </w:rPr>
        <w:t>除采购人的原因外，投标人自行负责在现场考察中所发生的人员伤亡和财产损失。</w:t>
      </w:r>
    </w:p>
    <w:p w14:paraId="6FA33ADE">
      <w:pPr>
        <w:numPr>
          <w:ilvl w:val="2"/>
          <w:numId w:val="4"/>
        </w:numPr>
        <w:spacing w:line="360" w:lineRule="auto"/>
        <w:ind w:firstLine="420" w:firstLineChars="200"/>
        <w:rPr>
          <w:rFonts w:hint="eastAsia"/>
          <w:szCs w:val="21"/>
        </w:rPr>
      </w:pPr>
      <w:r>
        <w:rPr>
          <w:rFonts w:hint="eastAsia"/>
          <w:szCs w:val="21"/>
        </w:rPr>
        <w:t>采购人在现场考察中介绍的项目场地和相关的周边环境情况，供投标人在编制投标文件时参考，采购人不对投标人据此作出的判断和决策负责。</w:t>
      </w:r>
    </w:p>
    <w:p w14:paraId="64164398">
      <w:pPr>
        <w:numPr>
          <w:ilvl w:val="2"/>
          <w:numId w:val="4"/>
        </w:numPr>
        <w:spacing w:line="360" w:lineRule="auto"/>
        <w:ind w:firstLine="420" w:firstLineChars="200"/>
        <w:rPr>
          <w:rFonts w:hint="eastAsia"/>
          <w:szCs w:val="21"/>
        </w:rPr>
      </w:pPr>
      <w:r>
        <w:rPr>
          <w:rFonts w:hint="eastAsia"/>
          <w:szCs w:val="21"/>
        </w:rPr>
        <w:t>答疑会：见投标人须知前附表。</w:t>
      </w:r>
    </w:p>
    <w:p w14:paraId="452BFC41">
      <w:pPr>
        <w:pStyle w:val="4"/>
        <w:numPr>
          <w:ilvl w:val="1"/>
          <w:numId w:val="4"/>
        </w:numPr>
        <w:rPr>
          <w:rFonts w:hint="eastAsia"/>
        </w:rPr>
      </w:pPr>
      <w:bookmarkStart w:id="170" w:name="_Toc30032"/>
      <w:bookmarkStart w:id="171" w:name="_Toc20467"/>
      <w:bookmarkStart w:id="172" w:name="_Toc27635"/>
      <w:bookmarkStart w:id="173" w:name="_Toc9561"/>
      <w:bookmarkStart w:id="174" w:name="_Toc8265"/>
      <w:bookmarkStart w:id="175" w:name="_Toc9110"/>
      <w:bookmarkStart w:id="176" w:name="_Toc26711"/>
      <w:bookmarkStart w:id="177" w:name="_Toc11040"/>
      <w:bookmarkStart w:id="178" w:name="_Toc28493"/>
      <w:bookmarkStart w:id="179" w:name="_Toc9989"/>
      <w:bookmarkStart w:id="180" w:name="_Toc6051"/>
      <w:bookmarkStart w:id="181" w:name="_Toc7448"/>
      <w:bookmarkStart w:id="182" w:name="_Toc10737"/>
      <w:r>
        <w:rPr>
          <w:rFonts w:hint="eastAsia"/>
        </w:rPr>
        <w:t>分包</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437921E1">
      <w:pPr>
        <w:pStyle w:val="29"/>
        <w:numPr>
          <w:ilvl w:val="2"/>
          <w:numId w:val="4"/>
        </w:numPr>
        <w:spacing w:line="360" w:lineRule="auto"/>
        <w:ind w:firstLine="420" w:firstLineChars="200"/>
        <w:rPr>
          <w:rFonts w:hint="eastAsia"/>
          <w:color w:val="auto"/>
          <w:kern w:val="2"/>
          <w:sz w:val="21"/>
          <w:szCs w:val="21"/>
        </w:rPr>
      </w:pPr>
      <w:bookmarkStart w:id="183" w:name="_Toc20874"/>
      <w:bookmarkStart w:id="184" w:name="_Toc28651"/>
      <w:r>
        <w:rPr>
          <w:rFonts w:hint="eastAsia"/>
          <w:color w:val="auto"/>
          <w:kern w:val="2"/>
          <w:sz w:val="21"/>
          <w:szCs w:val="21"/>
        </w:rPr>
        <w:t>不允许。</w:t>
      </w:r>
    </w:p>
    <w:bookmarkEnd w:id="183"/>
    <w:bookmarkEnd w:id="184"/>
    <w:p w14:paraId="19158D88">
      <w:pPr>
        <w:pStyle w:val="4"/>
        <w:numPr>
          <w:ilvl w:val="1"/>
          <w:numId w:val="4"/>
        </w:numPr>
        <w:rPr>
          <w:rFonts w:hint="eastAsia"/>
        </w:rPr>
      </w:pPr>
      <w:bookmarkStart w:id="185" w:name="_Toc20927"/>
      <w:bookmarkStart w:id="186" w:name="_Toc10772"/>
      <w:bookmarkStart w:id="187" w:name="_Toc19467"/>
      <w:bookmarkStart w:id="188" w:name="_Toc11842"/>
      <w:bookmarkStart w:id="189" w:name="_Toc1044"/>
      <w:bookmarkStart w:id="190" w:name="_Toc21622"/>
      <w:r>
        <w:rPr>
          <w:rFonts w:hint="eastAsia"/>
        </w:rPr>
        <w:t>样品</w:t>
      </w:r>
      <w:bookmarkEnd w:id="185"/>
      <w:bookmarkEnd w:id="186"/>
      <w:bookmarkEnd w:id="187"/>
      <w:bookmarkEnd w:id="188"/>
      <w:bookmarkEnd w:id="189"/>
      <w:bookmarkEnd w:id="190"/>
    </w:p>
    <w:p w14:paraId="6AE3573F">
      <w:pPr>
        <w:spacing w:line="360" w:lineRule="auto"/>
        <w:ind w:firstLine="420" w:firstLineChars="200"/>
        <w:rPr>
          <w:rFonts w:hint="eastAsia"/>
          <w:szCs w:val="21"/>
        </w:rPr>
      </w:pPr>
      <w:r>
        <w:rPr>
          <w:rFonts w:hint="eastAsia"/>
          <w:szCs w:val="21"/>
        </w:rPr>
        <w:t>无。</w:t>
      </w:r>
    </w:p>
    <w:p w14:paraId="2E96F89C">
      <w:pPr>
        <w:pStyle w:val="4"/>
        <w:numPr>
          <w:ilvl w:val="1"/>
          <w:numId w:val="4"/>
        </w:numPr>
        <w:rPr>
          <w:rFonts w:hint="eastAsia"/>
        </w:rPr>
      </w:pPr>
      <w:bookmarkStart w:id="191" w:name="_Toc9147"/>
      <w:bookmarkStart w:id="192" w:name="_Toc29855"/>
      <w:bookmarkStart w:id="193" w:name="_Toc11845"/>
      <w:bookmarkStart w:id="194" w:name="_Toc9588"/>
      <w:bookmarkStart w:id="195" w:name="_Toc5477"/>
      <w:bookmarkStart w:id="196" w:name="_Toc15630"/>
      <w:bookmarkStart w:id="197" w:name="_Toc12963"/>
      <w:bookmarkStart w:id="198" w:name="_Toc29163"/>
      <w:bookmarkStart w:id="199" w:name="_Toc29202"/>
      <w:bookmarkStart w:id="200" w:name="_Toc12548"/>
      <w:bookmarkStart w:id="201" w:name="_Toc25924"/>
      <w:bookmarkStart w:id="202" w:name="_Toc16595"/>
      <w:bookmarkStart w:id="203" w:name="_Toc14740"/>
      <w:r>
        <w:rPr>
          <w:rFonts w:hint="eastAsia"/>
        </w:rPr>
        <w:t>投标语言</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70CC41B9">
      <w:pPr>
        <w:spacing w:line="360" w:lineRule="auto"/>
        <w:ind w:firstLine="420" w:firstLineChars="200"/>
        <w:rPr>
          <w:rFonts w:hint="eastAsia"/>
          <w:szCs w:val="21"/>
        </w:rPr>
      </w:pPr>
      <w:r>
        <w:rPr>
          <w:rFonts w:hint="eastAsia"/>
          <w:kern w:val="0"/>
          <w:szCs w:val="21"/>
        </w:rPr>
        <w:t>招标</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使</w:t>
      </w:r>
      <w:r>
        <w:rPr>
          <w:rFonts w:hint="eastAsia"/>
          <w:kern w:val="0"/>
          <w:szCs w:val="21"/>
        </w:rPr>
        <w:t>用</w:t>
      </w:r>
      <w:r>
        <w:rPr>
          <w:rFonts w:hint="eastAsia"/>
          <w:spacing w:val="-2"/>
          <w:kern w:val="0"/>
          <w:szCs w:val="21"/>
        </w:rPr>
        <w:t>的</w:t>
      </w:r>
      <w:r>
        <w:rPr>
          <w:rFonts w:hint="eastAsia"/>
          <w:kern w:val="0"/>
          <w:szCs w:val="21"/>
        </w:rPr>
        <w:t>语</w:t>
      </w:r>
      <w:r>
        <w:rPr>
          <w:rFonts w:hint="eastAsia"/>
          <w:spacing w:val="-2"/>
          <w:kern w:val="0"/>
          <w:szCs w:val="21"/>
        </w:rPr>
        <w:t>言</w:t>
      </w:r>
      <w:r>
        <w:rPr>
          <w:rFonts w:hint="eastAsia"/>
          <w:kern w:val="0"/>
          <w:szCs w:val="21"/>
        </w:rPr>
        <w:t>文字</w:t>
      </w:r>
      <w:r>
        <w:rPr>
          <w:rFonts w:hint="eastAsia"/>
          <w:spacing w:val="-2"/>
          <w:kern w:val="0"/>
          <w:szCs w:val="21"/>
        </w:rPr>
        <w:t>为</w:t>
      </w:r>
      <w:r>
        <w:rPr>
          <w:rFonts w:hint="eastAsia"/>
          <w:kern w:val="0"/>
          <w:szCs w:val="21"/>
        </w:rPr>
        <w:t>中</w:t>
      </w:r>
      <w:r>
        <w:rPr>
          <w:rFonts w:hint="eastAsia"/>
          <w:spacing w:val="-2"/>
          <w:kern w:val="0"/>
          <w:szCs w:val="21"/>
        </w:rPr>
        <w:t>文</w:t>
      </w:r>
      <w:r>
        <w:rPr>
          <w:rFonts w:hint="eastAsia"/>
          <w:kern w:val="0"/>
          <w:szCs w:val="21"/>
        </w:rPr>
        <w:t>。</w:t>
      </w:r>
      <w:r>
        <w:rPr>
          <w:rFonts w:hint="eastAsia"/>
          <w:spacing w:val="-2"/>
          <w:kern w:val="0"/>
          <w:szCs w:val="21"/>
        </w:rPr>
        <w:t>专</w:t>
      </w:r>
      <w:r>
        <w:rPr>
          <w:rFonts w:hint="eastAsia"/>
          <w:kern w:val="0"/>
          <w:szCs w:val="21"/>
        </w:rPr>
        <w:t>用</w:t>
      </w:r>
      <w:r>
        <w:rPr>
          <w:rFonts w:hint="eastAsia"/>
          <w:spacing w:val="-2"/>
          <w:kern w:val="0"/>
          <w:szCs w:val="21"/>
        </w:rPr>
        <w:t>术</w:t>
      </w:r>
      <w:r>
        <w:rPr>
          <w:rFonts w:hint="eastAsia"/>
          <w:kern w:val="0"/>
          <w:szCs w:val="21"/>
        </w:rPr>
        <w:t>语</w:t>
      </w:r>
      <w:r>
        <w:rPr>
          <w:rFonts w:hint="eastAsia"/>
          <w:spacing w:val="-2"/>
          <w:kern w:val="0"/>
          <w:szCs w:val="21"/>
        </w:rPr>
        <w:t>使</w:t>
      </w:r>
      <w:r>
        <w:rPr>
          <w:rFonts w:hint="eastAsia"/>
          <w:kern w:val="0"/>
          <w:szCs w:val="21"/>
        </w:rPr>
        <w:t>用外</w:t>
      </w:r>
      <w:r>
        <w:rPr>
          <w:rFonts w:hint="eastAsia"/>
          <w:spacing w:val="-2"/>
          <w:kern w:val="0"/>
          <w:szCs w:val="21"/>
        </w:rPr>
        <w:t>文</w:t>
      </w:r>
      <w:r>
        <w:rPr>
          <w:rFonts w:hint="eastAsia"/>
          <w:kern w:val="0"/>
          <w:szCs w:val="21"/>
        </w:rPr>
        <w:t>的</w:t>
      </w:r>
      <w:r>
        <w:rPr>
          <w:rFonts w:hint="eastAsia"/>
          <w:spacing w:val="-2"/>
          <w:kern w:val="0"/>
          <w:szCs w:val="21"/>
        </w:rPr>
        <w:t>，</w:t>
      </w:r>
      <w:r>
        <w:rPr>
          <w:rFonts w:hint="eastAsia"/>
          <w:kern w:val="0"/>
          <w:szCs w:val="21"/>
        </w:rPr>
        <w:t>应</w:t>
      </w:r>
      <w:r>
        <w:rPr>
          <w:rFonts w:hint="eastAsia"/>
          <w:spacing w:val="-2"/>
          <w:kern w:val="0"/>
          <w:szCs w:val="21"/>
        </w:rPr>
        <w:t>附</w:t>
      </w:r>
      <w:r>
        <w:rPr>
          <w:rFonts w:hint="eastAsia"/>
          <w:kern w:val="0"/>
          <w:szCs w:val="21"/>
        </w:rPr>
        <w:t>有</w:t>
      </w:r>
      <w:r>
        <w:rPr>
          <w:rFonts w:hint="eastAsia"/>
          <w:spacing w:val="-2"/>
          <w:kern w:val="0"/>
          <w:szCs w:val="21"/>
        </w:rPr>
        <w:t>中</w:t>
      </w:r>
      <w:r>
        <w:rPr>
          <w:rFonts w:hint="eastAsia"/>
          <w:kern w:val="0"/>
          <w:szCs w:val="21"/>
        </w:rPr>
        <w:t>文</w:t>
      </w:r>
      <w:r>
        <w:rPr>
          <w:rFonts w:hint="eastAsia"/>
          <w:spacing w:val="-2"/>
          <w:kern w:val="0"/>
          <w:szCs w:val="21"/>
        </w:rPr>
        <w:t>注</w:t>
      </w:r>
      <w:r>
        <w:rPr>
          <w:rFonts w:hint="eastAsia"/>
          <w:kern w:val="0"/>
          <w:szCs w:val="21"/>
        </w:rPr>
        <w:t>释</w:t>
      </w:r>
      <w:r>
        <w:rPr>
          <w:rFonts w:hint="eastAsia"/>
          <w:szCs w:val="21"/>
        </w:rPr>
        <w:t>。</w:t>
      </w:r>
    </w:p>
    <w:p w14:paraId="67025A3B">
      <w:pPr>
        <w:pStyle w:val="4"/>
        <w:numPr>
          <w:ilvl w:val="1"/>
          <w:numId w:val="4"/>
        </w:numPr>
        <w:rPr>
          <w:rFonts w:hint="eastAsia"/>
        </w:rPr>
      </w:pPr>
      <w:bookmarkStart w:id="204" w:name="_Toc14812"/>
      <w:bookmarkStart w:id="205" w:name="_Toc20418"/>
      <w:bookmarkStart w:id="206" w:name="_Toc14186"/>
      <w:bookmarkStart w:id="207" w:name="_Toc30395"/>
      <w:bookmarkStart w:id="208" w:name="_Toc21374"/>
      <w:bookmarkStart w:id="209" w:name="_Toc9167"/>
      <w:bookmarkStart w:id="210" w:name="_Toc2194"/>
      <w:bookmarkStart w:id="211" w:name="_Toc22466"/>
      <w:bookmarkStart w:id="212" w:name="_Toc22605"/>
      <w:bookmarkStart w:id="213" w:name="_Toc26242"/>
      <w:bookmarkStart w:id="214" w:name="_Toc7785"/>
      <w:bookmarkStart w:id="215" w:name="_Toc5019"/>
      <w:bookmarkStart w:id="216" w:name="_Toc19599"/>
      <w:r>
        <w:rPr>
          <w:rFonts w:hint="eastAsia"/>
        </w:rPr>
        <w:t>投标文件计量单位</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604C655E">
      <w:pPr>
        <w:spacing w:line="360" w:lineRule="auto"/>
        <w:ind w:left="420" w:leftChars="200"/>
        <w:rPr>
          <w:rFonts w:hint="eastAsia"/>
          <w:szCs w:val="21"/>
        </w:rPr>
      </w:pPr>
      <w:r>
        <w:rPr>
          <w:rFonts w:hint="eastAsia"/>
          <w:szCs w:val="21"/>
        </w:rPr>
        <w:t>除在招标文件的技术文件中另有规定外，计量单位均使用中华人民共和国法定计量标准单位。</w:t>
      </w:r>
    </w:p>
    <w:p w14:paraId="6DD9C27A">
      <w:pPr>
        <w:pStyle w:val="4"/>
        <w:numPr>
          <w:ilvl w:val="1"/>
          <w:numId w:val="4"/>
        </w:numPr>
        <w:rPr>
          <w:rFonts w:hint="eastAsia"/>
        </w:rPr>
      </w:pPr>
      <w:bookmarkStart w:id="217" w:name="_Toc9975"/>
      <w:bookmarkStart w:id="218" w:name="_Toc15754"/>
      <w:bookmarkStart w:id="219" w:name="_Toc26796"/>
      <w:bookmarkStart w:id="220" w:name="_Toc4326"/>
      <w:bookmarkStart w:id="221" w:name="_Toc23957"/>
      <w:bookmarkStart w:id="222" w:name="_Toc24747"/>
      <w:bookmarkStart w:id="223" w:name="_Toc10045"/>
      <w:bookmarkStart w:id="224" w:name="_Toc2806"/>
      <w:bookmarkStart w:id="225" w:name="_Toc19923"/>
      <w:bookmarkStart w:id="226" w:name="_Toc23880"/>
      <w:bookmarkStart w:id="227" w:name="_Toc26769"/>
      <w:bookmarkStart w:id="228" w:name="_Toc16602"/>
      <w:bookmarkStart w:id="229" w:name="_Toc12071"/>
      <w:r>
        <w:rPr>
          <w:rFonts w:hint="eastAsia"/>
        </w:rPr>
        <w:t>投标货币</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5606C1C6">
      <w:pPr>
        <w:spacing w:line="360" w:lineRule="auto"/>
        <w:ind w:left="420" w:leftChars="200"/>
        <w:rPr>
          <w:rFonts w:hint="eastAsia"/>
          <w:szCs w:val="21"/>
        </w:rPr>
      </w:pPr>
      <w:r>
        <w:rPr>
          <w:rFonts w:hint="eastAsia"/>
          <w:szCs w:val="21"/>
        </w:rPr>
        <w:t>除非另有规定，投标人提供的所有服务用人民币报价。</w:t>
      </w:r>
    </w:p>
    <w:p w14:paraId="5C44A1B8">
      <w:pPr>
        <w:pStyle w:val="4"/>
        <w:numPr>
          <w:ilvl w:val="1"/>
          <w:numId w:val="4"/>
        </w:numPr>
        <w:rPr>
          <w:rFonts w:hint="eastAsia"/>
        </w:rPr>
      </w:pPr>
      <w:bookmarkStart w:id="230" w:name="_Toc13340"/>
      <w:bookmarkStart w:id="231" w:name="_Toc12030"/>
      <w:bookmarkStart w:id="232" w:name="_Toc19335"/>
      <w:bookmarkStart w:id="233" w:name="_Toc26021"/>
      <w:bookmarkStart w:id="234" w:name="_Toc11598"/>
      <w:bookmarkStart w:id="235" w:name="_Toc141"/>
      <w:bookmarkStart w:id="236" w:name="_Toc25980"/>
      <w:bookmarkStart w:id="237" w:name="_Toc14764"/>
      <w:bookmarkStart w:id="238" w:name="_Toc16853"/>
      <w:bookmarkStart w:id="239" w:name="_Toc4030"/>
      <w:bookmarkStart w:id="240" w:name="_Toc29095"/>
      <w:bookmarkStart w:id="241" w:name="_Toc32032"/>
      <w:bookmarkStart w:id="242" w:name="_Toc28184"/>
      <w:bookmarkStart w:id="243" w:name="_Toc31058"/>
      <w:bookmarkStart w:id="244" w:name="_Toc24561"/>
      <w:r>
        <w:rPr>
          <w:rFonts w:hint="eastAsia"/>
        </w:rPr>
        <w:t>保密</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FFCF30C">
      <w:pPr>
        <w:spacing w:line="360" w:lineRule="auto"/>
        <w:ind w:firstLine="420" w:firstLineChars="200"/>
        <w:rPr>
          <w:rFonts w:hint="eastAsia"/>
          <w:szCs w:val="21"/>
        </w:rPr>
      </w:pPr>
      <w:r>
        <w:rPr>
          <w:rFonts w:hint="eastAsia"/>
          <w:szCs w:val="21"/>
        </w:rPr>
        <w:t>参与招标投标活动的各方应对招标文件和投标文件中的商业和技术等秘密保密，否则应承担相应的法律责任。</w:t>
      </w:r>
    </w:p>
    <w:p w14:paraId="36050015">
      <w:pPr>
        <w:pStyle w:val="4"/>
        <w:numPr>
          <w:ilvl w:val="1"/>
          <w:numId w:val="4"/>
        </w:numPr>
        <w:rPr>
          <w:rFonts w:hint="eastAsia"/>
        </w:rPr>
      </w:pPr>
      <w:bookmarkStart w:id="245" w:name="_Toc25440"/>
      <w:bookmarkStart w:id="246" w:name="_Toc10914"/>
      <w:bookmarkStart w:id="247" w:name="_Toc26753"/>
      <w:bookmarkStart w:id="248" w:name="_Toc11954"/>
      <w:bookmarkStart w:id="249" w:name="_Toc6977"/>
      <w:bookmarkStart w:id="250" w:name="_Toc9963"/>
      <w:bookmarkStart w:id="251" w:name="_Toc18743"/>
      <w:bookmarkStart w:id="252" w:name="_Toc2167"/>
      <w:bookmarkStart w:id="253" w:name="_Toc6725"/>
      <w:bookmarkStart w:id="254" w:name="_Toc26863"/>
      <w:bookmarkStart w:id="255" w:name="_Toc21582"/>
      <w:bookmarkStart w:id="256" w:name="_Toc31207"/>
      <w:bookmarkStart w:id="257" w:name="_Toc25995"/>
      <w:r>
        <w:rPr>
          <w:rFonts w:hint="eastAsia"/>
        </w:rPr>
        <w:t>响应和偏差</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78E0EE9B">
      <w:pPr>
        <w:numPr>
          <w:ilvl w:val="2"/>
          <w:numId w:val="4"/>
        </w:numPr>
        <w:spacing w:line="360" w:lineRule="auto"/>
        <w:ind w:firstLine="420" w:firstLineChars="200"/>
        <w:rPr>
          <w:rFonts w:hint="eastAsia"/>
          <w:szCs w:val="21"/>
        </w:rPr>
      </w:pPr>
      <w:r>
        <w:rPr>
          <w:rFonts w:hint="eastAsia"/>
          <w:szCs w:val="21"/>
        </w:rPr>
        <w:t>允许</w:t>
      </w:r>
      <w:r>
        <w:rPr>
          <w:rFonts w:hint="eastAsia"/>
          <w:kern w:val="0"/>
          <w:szCs w:val="21"/>
        </w:rPr>
        <w:t>。</w:t>
      </w:r>
    </w:p>
    <w:p w14:paraId="682EAD5D">
      <w:pPr>
        <w:pStyle w:val="3"/>
        <w:numPr>
          <w:ilvl w:val="0"/>
          <w:numId w:val="3"/>
        </w:numPr>
        <w:tabs>
          <w:tab w:val="left" w:pos="721"/>
          <w:tab w:val="left" w:pos="840"/>
          <w:tab w:val="left" w:pos="2880"/>
          <w:tab w:val="left" w:pos="3780"/>
        </w:tabs>
        <w:jc w:val="both"/>
        <w:rPr>
          <w:rFonts w:hint="eastAsia" w:ascii="宋体" w:hAnsi="宋体"/>
          <w:szCs w:val="24"/>
        </w:rPr>
      </w:pPr>
      <w:bookmarkStart w:id="258" w:name="_Toc26880"/>
      <w:bookmarkStart w:id="259" w:name="_Toc25889"/>
      <w:bookmarkStart w:id="260" w:name="_Toc27053"/>
      <w:r>
        <w:rPr>
          <w:rFonts w:hint="eastAsia" w:ascii="宋体" w:hAnsi="宋体"/>
          <w:szCs w:val="24"/>
        </w:rPr>
        <w:t>招标文件</w:t>
      </w:r>
      <w:bookmarkEnd w:id="156"/>
      <w:bookmarkEnd w:id="258"/>
      <w:bookmarkEnd w:id="259"/>
      <w:bookmarkEnd w:id="260"/>
    </w:p>
    <w:p w14:paraId="61BDA8C4">
      <w:pPr>
        <w:pStyle w:val="4"/>
        <w:numPr>
          <w:ilvl w:val="1"/>
          <w:numId w:val="3"/>
        </w:numPr>
        <w:spacing w:before="140" w:after="140"/>
        <w:rPr>
          <w:rFonts w:hint="eastAsia"/>
        </w:rPr>
      </w:pPr>
      <w:bookmarkStart w:id="261" w:name="_Toc11"/>
      <w:bookmarkStart w:id="262" w:name="_Toc14801"/>
      <w:bookmarkStart w:id="263" w:name="_Toc3764"/>
      <w:bookmarkStart w:id="264" w:name="_Toc20524"/>
      <w:bookmarkStart w:id="265" w:name="_Toc8008"/>
      <w:bookmarkStart w:id="266" w:name="_Toc28051"/>
      <w:r>
        <w:rPr>
          <w:rFonts w:hint="eastAsia"/>
        </w:rPr>
        <w:t>招标文件的构成</w:t>
      </w:r>
      <w:bookmarkEnd w:id="261"/>
      <w:bookmarkEnd w:id="262"/>
      <w:bookmarkEnd w:id="263"/>
      <w:bookmarkEnd w:id="264"/>
      <w:bookmarkEnd w:id="265"/>
      <w:bookmarkEnd w:id="266"/>
    </w:p>
    <w:p w14:paraId="44005B31">
      <w:pPr>
        <w:numPr>
          <w:ilvl w:val="2"/>
          <w:numId w:val="3"/>
        </w:numPr>
        <w:spacing w:line="360" w:lineRule="auto"/>
        <w:ind w:left="0" w:firstLine="420" w:firstLineChars="200"/>
        <w:rPr>
          <w:rFonts w:hint="eastAsia"/>
          <w:szCs w:val="21"/>
        </w:rPr>
      </w:pPr>
      <w:r>
        <w:rPr>
          <w:rFonts w:hint="eastAsia"/>
          <w:szCs w:val="21"/>
        </w:rPr>
        <w:t>招标文件用以阐明本次招标的货物及其伴随的服务标准、招标投标程序和合同条件。</w:t>
      </w:r>
    </w:p>
    <w:p w14:paraId="5CB74788">
      <w:pPr>
        <w:pStyle w:val="19"/>
        <w:tabs>
          <w:tab w:val="left" w:pos="720"/>
          <w:tab w:val="left" w:pos="1080"/>
        </w:tabs>
        <w:spacing w:line="360" w:lineRule="auto"/>
        <w:ind w:left="720" w:firstLine="0"/>
        <w:rPr>
          <w:rFonts w:hint="eastAsia" w:eastAsia="宋体"/>
          <w:sz w:val="21"/>
          <w:szCs w:val="21"/>
        </w:rPr>
      </w:pPr>
      <w:r>
        <w:rPr>
          <w:rFonts w:hint="eastAsia" w:eastAsia="宋体"/>
          <w:sz w:val="21"/>
          <w:szCs w:val="21"/>
        </w:rPr>
        <w:t xml:space="preserve">招标文件由下述部分组成： </w:t>
      </w:r>
    </w:p>
    <w:p w14:paraId="7E401959">
      <w:pPr>
        <w:pStyle w:val="16"/>
        <w:numPr>
          <w:ilvl w:val="0"/>
          <w:numId w:val="9"/>
        </w:numPr>
        <w:tabs>
          <w:tab w:val="left" w:pos="1080"/>
        </w:tabs>
        <w:spacing w:line="360" w:lineRule="auto"/>
        <w:rPr>
          <w:rFonts w:hint="eastAsia"/>
          <w:sz w:val="21"/>
          <w:szCs w:val="21"/>
        </w:rPr>
      </w:pPr>
      <w:r>
        <w:rPr>
          <w:rFonts w:hint="eastAsia"/>
          <w:sz w:val="21"/>
          <w:szCs w:val="21"/>
        </w:rPr>
        <w:t>投标邀请</w:t>
      </w:r>
    </w:p>
    <w:p w14:paraId="7C196F94">
      <w:pPr>
        <w:pStyle w:val="16"/>
        <w:numPr>
          <w:ilvl w:val="0"/>
          <w:numId w:val="9"/>
        </w:numPr>
        <w:tabs>
          <w:tab w:val="left" w:pos="1080"/>
        </w:tabs>
        <w:spacing w:line="360" w:lineRule="auto"/>
        <w:rPr>
          <w:rFonts w:hint="eastAsia"/>
          <w:sz w:val="21"/>
          <w:szCs w:val="21"/>
        </w:rPr>
      </w:pPr>
      <w:r>
        <w:rPr>
          <w:rFonts w:hint="eastAsia"/>
          <w:sz w:val="21"/>
          <w:szCs w:val="21"/>
        </w:rPr>
        <w:t>投标人须知</w:t>
      </w:r>
    </w:p>
    <w:p w14:paraId="76DA7188">
      <w:pPr>
        <w:pStyle w:val="16"/>
        <w:numPr>
          <w:ilvl w:val="0"/>
          <w:numId w:val="9"/>
        </w:numPr>
        <w:tabs>
          <w:tab w:val="left" w:pos="1080"/>
        </w:tabs>
        <w:spacing w:line="360" w:lineRule="auto"/>
        <w:rPr>
          <w:rFonts w:hint="eastAsia"/>
          <w:sz w:val="21"/>
          <w:szCs w:val="21"/>
        </w:rPr>
      </w:pPr>
      <w:r>
        <w:rPr>
          <w:rFonts w:hint="eastAsia"/>
          <w:sz w:val="21"/>
          <w:szCs w:val="21"/>
        </w:rPr>
        <w:t>资格审查</w:t>
      </w:r>
    </w:p>
    <w:p w14:paraId="3542567C">
      <w:pPr>
        <w:pStyle w:val="16"/>
        <w:numPr>
          <w:ilvl w:val="0"/>
          <w:numId w:val="9"/>
        </w:numPr>
        <w:tabs>
          <w:tab w:val="left" w:pos="1080"/>
        </w:tabs>
        <w:spacing w:line="360" w:lineRule="auto"/>
        <w:rPr>
          <w:rFonts w:hint="eastAsia"/>
          <w:sz w:val="21"/>
          <w:szCs w:val="21"/>
        </w:rPr>
      </w:pPr>
      <w:r>
        <w:rPr>
          <w:rFonts w:hint="eastAsia"/>
          <w:sz w:val="21"/>
          <w:szCs w:val="21"/>
        </w:rPr>
        <w:t>评标办法</w:t>
      </w:r>
    </w:p>
    <w:p w14:paraId="4CFC9210">
      <w:pPr>
        <w:pStyle w:val="16"/>
        <w:numPr>
          <w:ilvl w:val="0"/>
          <w:numId w:val="9"/>
        </w:numPr>
        <w:tabs>
          <w:tab w:val="left" w:pos="1080"/>
        </w:tabs>
        <w:spacing w:line="360" w:lineRule="auto"/>
        <w:rPr>
          <w:rFonts w:hint="eastAsia"/>
          <w:sz w:val="21"/>
          <w:szCs w:val="21"/>
        </w:rPr>
      </w:pPr>
      <w:r>
        <w:fldChar w:fldCharType="begin"/>
      </w:r>
      <w:r>
        <w:instrText xml:space="preserve"> HYPERLINK \l "_合同条款" </w:instrText>
      </w:r>
      <w:r>
        <w:fldChar w:fldCharType="separate"/>
      </w:r>
      <w:r>
        <w:rPr>
          <w:rFonts w:hint="eastAsia"/>
          <w:sz w:val="21"/>
          <w:szCs w:val="21"/>
        </w:rPr>
        <w:t>合同</w:t>
      </w:r>
      <w:r>
        <w:rPr>
          <w:rFonts w:hint="eastAsia"/>
          <w:sz w:val="21"/>
          <w:szCs w:val="21"/>
        </w:rPr>
        <w:fldChar w:fldCharType="end"/>
      </w:r>
    </w:p>
    <w:p w14:paraId="107C4070">
      <w:pPr>
        <w:pStyle w:val="16"/>
        <w:numPr>
          <w:ilvl w:val="0"/>
          <w:numId w:val="9"/>
        </w:numPr>
        <w:tabs>
          <w:tab w:val="left" w:pos="1080"/>
        </w:tabs>
        <w:spacing w:line="360" w:lineRule="auto"/>
        <w:rPr>
          <w:rFonts w:hint="eastAsia"/>
          <w:sz w:val="21"/>
          <w:szCs w:val="21"/>
        </w:rPr>
      </w:pPr>
      <w:r>
        <w:rPr>
          <w:rFonts w:hint="eastAsia"/>
          <w:sz w:val="21"/>
          <w:szCs w:val="21"/>
        </w:rPr>
        <w:t>采购需求</w:t>
      </w:r>
    </w:p>
    <w:p w14:paraId="09C0CD40">
      <w:pPr>
        <w:pStyle w:val="16"/>
        <w:numPr>
          <w:ilvl w:val="0"/>
          <w:numId w:val="9"/>
        </w:numPr>
        <w:tabs>
          <w:tab w:val="left" w:pos="1080"/>
        </w:tabs>
        <w:spacing w:line="360" w:lineRule="auto"/>
        <w:rPr>
          <w:rFonts w:hint="eastAsia"/>
          <w:sz w:val="21"/>
          <w:szCs w:val="21"/>
        </w:rPr>
      </w:pPr>
      <w:r>
        <w:rPr>
          <w:rFonts w:hint="eastAsia"/>
          <w:sz w:val="21"/>
          <w:szCs w:val="21"/>
        </w:rPr>
        <w:t>投标文件资格审查文件册通用格式</w:t>
      </w:r>
    </w:p>
    <w:p w14:paraId="448ECB72">
      <w:pPr>
        <w:pStyle w:val="16"/>
        <w:numPr>
          <w:ilvl w:val="0"/>
          <w:numId w:val="9"/>
        </w:numPr>
        <w:tabs>
          <w:tab w:val="left" w:pos="1080"/>
        </w:tabs>
        <w:spacing w:line="360" w:lineRule="auto"/>
        <w:rPr>
          <w:rFonts w:hint="eastAsia"/>
          <w:sz w:val="21"/>
          <w:szCs w:val="21"/>
        </w:rPr>
      </w:pPr>
      <w:r>
        <w:rPr>
          <w:rFonts w:hint="eastAsia"/>
          <w:sz w:val="21"/>
          <w:szCs w:val="21"/>
        </w:rPr>
        <w:t>投标文件通用格式</w:t>
      </w:r>
    </w:p>
    <w:p w14:paraId="351F9AEC">
      <w:pPr>
        <w:numPr>
          <w:ilvl w:val="2"/>
          <w:numId w:val="3"/>
        </w:numPr>
        <w:spacing w:line="360" w:lineRule="auto"/>
        <w:ind w:left="0" w:firstLine="420" w:firstLineChars="200"/>
        <w:rPr>
          <w:rFonts w:hint="eastAsia"/>
          <w:szCs w:val="21"/>
        </w:rPr>
      </w:pPr>
      <w:r>
        <w:rPr>
          <w:rFonts w:hint="eastAsia"/>
          <w:szCs w:val="21"/>
        </w:rPr>
        <w:t>投标人应仔细阅读招标文件中投标人须知、合同条款的所有事项、格式要求和技术规范，按招标文件的要求提供投标文件，并保证所提供的全部资料的真实性，以使其投标对招标文件作出实质性响应，否则，将承担其</w:t>
      </w:r>
      <w:r>
        <w:rPr>
          <w:rFonts w:hint="eastAsia"/>
          <w:b/>
          <w:bCs/>
          <w:szCs w:val="21"/>
        </w:rPr>
        <w:t>投标被拒绝或认定为投标无效的风险</w:t>
      </w:r>
      <w:r>
        <w:rPr>
          <w:rFonts w:hint="eastAsia"/>
          <w:szCs w:val="21"/>
        </w:rPr>
        <w:t>。</w:t>
      </w:r>
    </w:p>
    <w:p w14:paraId="188726A7">
      <w:pPr>
        <w:numPr>
          <w:ilvl w:val="2"/>
          <w:numId w:val="3"/>
        </w:numPr>
        <w:spacing w:line="360" w:lineRule="auto"/>
        <w:ind w:left="0" w:firstLine="420" w:firstLineChars="200"/>
        <w:rPr>
          <w:rFonts w:hint="eastAsia"/>
          <w:szCs w:val="21"/>
        </w:rPr>
      </w:pPr>
      <w:r>
        <w:rPr>
          <w:rFonts w:hint="eastAsia"/>
          <w:szCs w:val="21"/>
        </w:rPr>
        <w:t>投标人制作投标文件时应充分完整理解招标文件的整体要求。</w:t>
      </w:r>
    </w:p>
    <w:p w14:paraId="13E2A31F">
      <w:pPr>
        <w:numPr>
          <w:ilvl w:val="2"/>
          <w:numId w:val="3"/>
        </w:numPr>
        <w:spacing w:line="360" w:lineRule="auto"/>
        <w:ind w:left="0" w:firstLine="420" w:firstLineChars="200"/>
        <w:rPr>
          <w:rFonts w:hint="eastAsia"/>
          <w:szCs w:val="21"/>
        </w:rPr>
      </w:pPr>
      <w:r>
        <w:rPr>
          <w:rFonts w:hint="eastAsia"/>
          <w:szCs w:val="21"/>
        </w:rPr>
        <w:t>根据本章第1.4款、第2.2款和第2.3款对招标文件所做的澄清和修改，构成招标文件的组成部分。</w:t>
      </w:r>
    </w:p>
    <w:p w14:paraId="7898968E">
      <w:pPr>
        <w:pStyle w:val="4"/>
        <w:numPr>
          <w:ilvl w:val="1"/>
          <w:numId w:val="3"/>
        </w:numPr>
        <w:spacing w:before="140" w:after="140"/>
        <w:rPr>
          <w:rFonts w:hint="eastAsia"/>
        </w:rPr>
      </w:pPr>
      <w:bookmarkStart w:id="267" w:name="_Toc7923"/>
      <w:bookmarkStart w:id="268" w:name="_Toc6978"/>
      <w:bookmarkStart w:id="269" w:name="_Toc23431"/>
      <w:bookmarkStart w:id="270" w:name="_Toc18984"/>
      <w:bookmarkStart w:id="271" w:name="_Toc1423"/>
      <w:bookmarkStart w:id="272" w:name="_Toc3408"/>
      <w:r>
        <w:rPr>
          <w:rFonts w:hint="eastAsia"/>
        </w:rPr>
        <w:t>招标文件的澄清</w:t>
      </w:r>
      <w:bookmarkEnd w:id="267"/>
      <w:bookmarkEnd w:id="268"/>
      <w:bookmarkEnd w:id="269"/>
      <w:bookmarkEnd w:id="270"/>
      <w:bookmarkEnd w:id="271"/>
      <w:bookmarkEnd w:id="272"/>
    </w:p>
    <w:p w14:paraId="10D4AB91">
      <w:pPr>
        <w:numPr>
          <w:ilvl w:val="2"/>
          <w:numId w:val="3"/>
        </w:numPr>
        <w:spacing w:line="360" w:lineRule="auto"/>
        <w:ind w:left="0" w:firstLine="420" w:firstLineChars="200"/>
        <w:rPr>
          <w:rFonts w:hint="eastAsia"/>
          <w:szCs w:val="21"/>
        </w:rPr>
      </w:pPr>
      <w:r>
        <w:rPr>
          <w:rFonts w:hint="eastAsia"/>
          <w:szCs w:val="21"/>
        </w:rPr>
        <w:t>投标人应仔细阅读和检查招标文件的全部内容。如发现缺页或附件不全，应及时向采购人提出，以便补齐。</w:t>
      </w:r>
    </w:p>
    <w:p w14:paraId="49C69565">
      <w:pPr>
        <w:numPr>
          <w:ilvl w:val="2"/>
          <w:numId w:val="3"/>
        </w:numPr>
        <w:spacing w:line="360" w:lineRule="auto"/>
        <w:ind w:left="0" w:firstLine="420" w:firstLineChars="200"/>
        <w:rPr>
          <w:rFonts w:hint="eastAsia"/>
          <w:szCs w:val="21"/>
        </w:rPr>
      </w:pPr>
      <w:r>
        <w:rPr>
          <w:rFonts w:hint="eastAsia"/>
          <w:szCs w:val="21"/>
        </w:rPr>
        <w:t>招标文件的澄清以投标人须知前附表规定的形式发给所有获取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625E149D">
      <w:pPr>
        <w:numPr>
          <w:ilvl w:val="2"/>
          <w:numId w:val="3"/>
        </w:numPr>
        <w:spacing w:line="360" w:lineRule="auto"/>
        <w:ind w:left="0" w:firstLine="420" w:firstLineChars="200"/>
        <w:rPr>
          <w:rFonts w:hint="eastAsia"/>
          <w:szCs w:val="21"/>
        </w:rPr>
      </w:pPr>
      <w:r>
        <w:rPr>
          <w:rFonts w:hint="eastAsia"/>
          <w:szCs w:val="21"/>
        </w:rPr>
        <w:t>投标人在收到澄清后，应按投标人须知前附表规定的时间和形式通知采购人，确认已收到该澄清。</w:t>
      </w:r>
    </w:p>
    <w:p w14:paraId="4E49AB78">
      <w:pPr>
        <w:pStyle w:val="4"/>
        <w:numPr>
          <w:ilvl w:val="1"/>
          <w:numId w:val="3"/>
        </w:numPr>
        <w:spacing w:before="140" w:after="140"/>
        <w:rPr>
          <w:rFonts w:hint="eastAsia"/>
        </w:rPr>
      </w:pPr>
      <w:bookmarkStart w:id="273" w:name="_Toc12162"/>
      <w:bookmarkStart w:id="274" w:name="_Toc28686"/>
      <w:bookmarkStart w:id="275" w:name="_Toc28742"/>
      <w:bookmarkStart w:id="276" w:name="_Toc25801"/>
      <w:bookmarkStart w:id="277" w:name="_Toc3549"/>
      <w:bookmarkStart w:id="278" w:name="_Toc32510"/>
      <w:r>
        <w:rPr>
          <w:rFonts w:hint="eastAsia"/>
        </w:rPr>
        <w:t>招标文件的修改</w:t>
      </w:r>
      <w:bookmarkEnd w:id="273"/>
      <w:bookmarkEnd w:id="274"/>
      <w:bookmarkEnd w:id="275"/>
      <w:bookmarkEnd w:id="276"/>
      <w:bookmarkEnd w:id="277"/>
      <w:bookmarkEnd w:id="278"/>
    </w:p>
    <w:p w14:paraId="7B43EBAA">
      <w:pPr>
        <w:numPr>
          <w:ilvl w:val="2"/>
          <w:numId w:val="3"/>
        </w:numPr>
        <w:spacing w:line="360" w:lineRule="auto"/>
        <w:ind w:left="0" w:firstLine="420" w:firstLineChars="200"/>
        <w:rPr>
          <w:rFonts w:hint="eastAsia"/>
          <w:szCs w:val="21"/>
        </w:rPr>
      </w:pPr>
      <w:r>
        <w:rPr>
          <w:rFonts w:hint="eastAsia"/>
          <w:szCs w:val="21"/>
        </w:rPr>
        <w:t>采购人或者采购代理机构可以对已发出的招标文件进行必要的修改，但不得改变采购标的和资格条件，修改的内容为招标文件的组成部分。</w:t>
      </w:r>
    </w:p>
    <w:p w14:paraId="77B4C720">
      <w:pPr>
        <w:numPr>
          <w:ilvl w:val="2"/>
          <w:numId w:val="3"/>
        </w:numPr>
        <w:spacing w:line="360" w:lineRule="auto"/>
        <w:ind w:left="0" w:firstLine="420" w:firstLineChars="200"/>
        <w:rPr>
          <w:rFonts w:hint="eastAsia"/>
          <w:szCs w:val="21"/>
        </w:rPr>
      </w:pPr>
      <w:r>
        <w:rPr>
          <w:rFonts w:hint="eastAsia"/>
          <w:szCs w:val="21"/>
        </w:rPr>
        <w:t>采购人或采购代理机构以投标人须知前附表规定的形式修改招标文件，并通知所有已获取招标文件的投标人，同时在原公告媒体发布变更公告。修改招标文件的时间距本章第4.2.1项规定的投标截止时间不足15日的，并且修改内容可能影响投标文件编制的，将相应延长投标截止时间。</w:t>
      </w:r>
    </w:p>
    <w:p w14:paraId="6D4805E4">
      <w:pPr>
        <w:numPr>
          <w:ilvl w:val="2"/>
          <w:numId w:val="3"/>
        </w:numPr>
        <w:spacing w:line="360" w:lineRule="auto"/>
        <w:ind w:left="0" w:firstLine="420" w:firstLineChars="200"/>
        <w:rPr>
          <w:rFonts w:hint="eastAsia"/>
          <w:szCs w:val="21"/>
        </w:rPr>
      </w:pPr>
      <w:r>
        <w:rPr>
          <w:rFonts w:hint="eastAsia"/>
          <w:szCs w:val="21"/>
        </w:rPr>
        <w:t>投标人收到修改内容后，应按投标人须知前附表规定的时间和形式通知采购人，确认已收到该修改。</w:t>
      </w:r>
    </w:p>
    <w:p w14:paraId="7F16F1FD">
      <w:pPr>
        <w:pStyle w:val="3"/>
        <w:numPr>
          <w:ilvl w:val="0"/>
          <w:numId w:val="3"/>
        </w:numPr>
        <w:tabs>
          <w:tab w:val="left" w:pos="721"/>
          <w:tab w:val="left" w:pos="840"/>
          <w:tab w:val="left" w:pos="2880"/>
          <w:tab w:val="left" w:pos="3780"/>
        </w:tabs>
        <w:jc w:val="both"/>
        <w:rPr>
          <w:rFonts w:hint="eastAsia" w:ascii="宋体" w:hAnsi="宋体"/>
          <w:szCs w:val="24"/>
        </w:rPr>
      </w:pPr>
      <w:bookmarkStart w:id="279" w:name="_Toc312133545"/>
      <w:bookmarkStart w:id="280" w:name="_Toc4694"/>
      <w:bookmarkStart w:id="281" w:name="_Toc93"/>
      <w:bookmarkStart w:id="282" w:name="_Toc28073"/>
      <w:r>
        <w:rPr>
          <w:rFonts w:hint="eastAsia" w:ascii="宋体" w:hAnsi="宋体"/>
          <w:szCs w:val="24"/>
        </w:rPr>
        <w:t>投标文件的编写</w:t>
      </w:r>
      <w:bookmarkEnd w:id="279"/>
      <w:bookmarkEnd w:id="280"/>
      <w:bookmarkEnd w:id="281"/>
      <w:bookmarkEnd w:id="282"/>
    </w:p>
    <w:p w14:paraId="2E4E61FC">
      <w:pPr>
        <w:pStyle w:val="4"/>
        <w:numPr>
          <w:ilvl w:val="1"/>
          <w:numId w:val="3"/>
        </w:numPr>
        <w:spacing w:before="140" w:after="140"/>
        <w:rPr>
          <w:rFonts w:hint="eastAsia"/>
        </w:rPr>
      </w:pPr>
      <w:bookmarkStart w:id="283" w:name="_Toc21879"/>
      <w:bookmarkStart w:id="284" w:name="_Toc13551"/>
      <w:bookmarkStart w:id="285" w:name="_Toc17436"/>
      <w:bookmarkStart w:id="286" w:name="_Toc17591"/>
      <w:bookmarkStart w:id="287" w:name="_Toc9605"/>
      <w:bookmarkStart w:id="288" w:name="_Toc27498"/>
      <w:r>
        <w:rPr>
          <w:rFonts w:hint="eastAsia"/>
        </w:rPr>
        <w:t>投标文件的组成</w:t>
      </w:r>
      <w:bookmarkEnd w:id="283"/>
      <w:bookmarkEnd w:id="284"/>
      <w:bookmarkEnd w:id="285"/>
      <w:bookmarkEnd w:id="286"/>
      <w:bookmarkEnd w:id="287"/>
      <w:bookmarkEnd w:id="288"/>
    </w:p>
    <w:p w14:paraId="1011C9C1">
      <w:pPr>
        <w:numPr>
          <w:ilvl w:val="2"/>
          <w:numId w:val="3"/>
        </w:numPr>
        <w:spacing w:line="360" w:lineRule="auto"/>
        <w:ind w:left="0" w:firstLine="420" w:firstLineChars="200"/>
        <w:rPr>
          <w:rFonts w:hint="eastAsia"/>
          <w:szCs w:val="21"/>
        </w:rPr>
      </w:pPr>
      <w:r>
        <w:rPr>
          <w:rFonts w:hint="eastAsia"/>
          <w:szCs w:val="21"/>
        </w:rPr>
        <w:t>投标文件包括下列部分：</w:t>
      </w:r>
    </w:p>
    <w:p w14:paraId="1575B65A">
      <w:pPr>
        <w:tabs>
          <w:tab w:val="left" w:pos="720"/>
        </w:tabs>
        <w:spacing w:line="360" w:lineRule="auto"/>
        <w:ind w:firstLine="422" w:firstLineChars="200"/>
        <w:rPr>
          <w:rFonts w:hint="eastAsia"/>
          <w:b/>
          <w:bCs/>
          <w:szCs w:val="21"/>
        </w:rPr>
      </w:pPr>
      <w:r>
        <w:rPr>
          <w:rFonts w:hint="eastAsia"/>
          <w:b/>
          <w:bCs/>
          <w:szCs w:val="21"/>
        </w:rPr>
        <w:t>投标文件资格审查文件册组成</w:t>
      </w:r>
    </w:p>
    <w:p w14:paraId="5FE147E0">
      <w:pPr>
        <w:numPr>
          <w:ilvl w:val="0"/>
          <w:numId w:val="10"/>
        </w:numPr>
        <w:autoSpaceDE w:val="0"/>
        <w:autoSpaceDN w:val="0"/>
        <w:adjustRightInd w:val="0"/>
        <w:spacing w:line="360" w:lineRule="auto"/>
        <w:ind w:left="987" w:leftChars="200" w:right="40" w:hanging="567"/>
        <w:jc w:val="left"/>
        <w:rPr>
          <w:rFonts w:hint="eastAsia"/>
          <w:kern w:val="0"/>
          <w:szCs w:val="21"/>
        </w:rPr>
      </w:pPr>
      <w:r>
        <w:rPr>
          <w:rFonts w:hint="eastAsia"/>
          <w:kern w:val="0"/>
          <w:szCs w:val="21"/>
        </w:rPr>
        <w:t>投标人资格声明函</w:t>
      </w:r>
    </w:p>
    <w:p w14:paraId="608F4A85">
      <w:pPr>
        <w:numPr>
          <w:ilvl w:val="0"/>
          <w:numId w:val="10"/>
        </w:numPr>
        <w:autoSpaceDE w:val="0"/>
        <w:autoSpaceDN w:val="0"/>
        <w:adjustRightInd w:val="0"/>
        <w:spacing w:line="360" w:lineRule="auto"/>
        <w:ind w:left="987" w:leftChars="200" w:right="40" w:hanging="567"/>
        <w:jc w:val="left"/>
        <w:rPr>
          <w:rFonts w:hint="eastAsia"/>
          <w:kern w:val="0"/>
          <w:szCs w:val="21"/>
        </w:rPr>
      </w:pPr>
      <w:r>
        <w:rPr>
          <w:rFonts w:hint="eastAsia"/>
          <w:kern w:val="0"/>
          <w:szCs w:val="21"/>
        </w:rPr>
        <w:t>投标人资格证明文件</w:t>
      </w:r>
    </w:p>
    <w:p w14:paraId="742AAA9A">
      <w:pPr>
        <w:spacing w:line="360" w:lineRule="auto"/>
        <w:ind w:firstLine="422" w:firstLineChars="200"/>
        <w:rPr>
          <w:rFonts w:hint="eastAsia"/>
          <w:szCs w:val="21"/>
        </w:rPr>
      </w:pPr>
      <w:r>
        <w:rPr>
          <w:rFonts w:hint="eastAsia"/>
          <w:b/>
          <w:bCs/>
          <w:szCs w:val="21"/>
        </w:rPr>
        <w:t>投标文件组成</w:t>
      </w:r>
    </w:p>
    <w:p w14:paraId="23DFD16E">
      <w:pPr>
        <w:spacing w:line="360" w:lineRule="auto"/>
        <w:ind w:firstLine="420" w:firstLineChars="200"/>
        <w:rPr>
          <w:rFonts w:hint="eastAsia"/>
          <w:bCs/>
        </w:rPr>
      </w:pPr>
      <w:r>
        <w:rPr>
          <w:rFonts w:hint="eastAsia"/>
          <w:bCs/>
        </w:rPr>
        <w:t>（1）法定代表人身份证明</w:t>
      </w:r>
    </w:p>
    <w:p w14:paraId="5C72299F">
      <w:pPr>
        <w:spacing w:line="360" w:lineRule="auto"/>
        <w:ind w:firstLine="420" w:firstLineChars="200"/>
        <w:rPr>
          <w:rFonts w:hint="eastAsia"/>
          <w:bCs/>
        </w:rPr>
      </w:pPr>
      <w:r>
        <w:rPr>
          <w:rFonts w:hint="eastAsia"/>
          <w:bCs/>
        </w:rPr>
        <w:t>（2）法定代表人授权委托书</w:t>
      </w:r>
    </w:p>
    <w:p w14:paraId="22B3AF9A">
      <w:pPr>
        <w:spacing w:line="360" w:lineRule="auto"/>
        <w:ind w:firstLine="420" w:firstLineChars="200"/>
        <w:rPr>
          <w:rFonts w:hint="eastAsia"/>
          <w:bCs/>
        </w:rPr>
      </w:pPr>
      <w:r>
        <w:rPr>
          <w:rFonts w:hint="eastAsia"/>
          <w:bCs/>
        </w:rPr>
        <w:t>（3）投标书</w:t>
      </w:r>
    </w:p>
    <w:p w14:paraId="62645D91">
      <w:pPr>
        <w:spacing w:line="360" w:lineRule="auto"/>
        <w:ind w:firstLine="420" w:firstLineChars="200"/>
        <w:rPr>
          <w:rFonts w:hint="eastAsia"/>
          <w:bCs/>
        </w:rPr>
      </w:pPr>
      <w:r>
        <w:rPr>
          <w:rFonts w:hint="eastAsia"/>
          <w:bCs/>
        </w:rPr>
        <w:t>（4）投标承诺函</w:t>
      </w:r>
    </w:p>
    <w:p w14:paraId="3F666D7A">
      <w:pPr>
        <w:spacing w:line="360" w:lineRule="auto"/>
        <w:ind w:firstLine="420" w:firstLineChars="200"/>
        <w:rPr>
          <w:rFonts w:hint="eastAsia"/>
          <w:bCs/>
        </w:rPr>
      </w:pPr>
      <w:r>
        <w:rPr>
          <w:rFonts w:hint="eastAsia"/>
          <w:bCs/>
        </w:rPr>
        <w:t>（5）投标报价表格</w:t>
      </w:r>
    </w:p>
    <w:p w14:paraId="5782A714">
      <w:pPr>
        <w:spacing w:line="360" w:lineRule="auto"/>
        <w:ind w:firstLine="420" w:firstLineChars="200"/>
        <w:rPr>
          <w:rFonts w:hint="eastAsia"/>
          <w:bCs/>
        </w:rPr>
      </w:pPr>
      <w:r>
        <w:rPr>
          <w:rFonts w:hint="eastAsia"/>
          <w:bCs/>
        </w:rPr>
        <w:t>（6）商务条款偏离表</w:t>
      </w:r>
    </w:p>
    <w:p w14:paraId="4A50883A">
      <w:pPr>
        <w:spacing w:line="360" w:lineRule="auto"/>
        <w:ind w:firstLine="420" w:firstLineChars="200"/>
        <w:rPr>
          <w:rFonts w:hint="eastAsia"/>
          <w:bCs/>
        </w:rPr>
      </w:pPr>
      <w:r>
        <w:rPr>
          <w:rFonts w:hint="eastAsia"/>
          <w:bCs/>
        </w:rPr>
        <w:t>（7）技术偏差表</w:t>
      </w:r>
    </w:p>
    <w:p w14:paraId="0E86EA5F">
      <w:pPr>
        <w:spacing w:line="360" w:lineRule="auto"/>
        <w:ind w:firstLine="420" w:firstLineChars="200"/>
        <w:rPr>
          <w:rFonts w:hint="eastAsia"/>
          <w:bCs/>
        </w:rPr>
      </w:pPr>
      <w:r>
        <w:rPr>
          <w:rFonts w:hint="eastAsia"/>
          <w:bCs/>
        </w:rPr>
        <w:t>（8）技术部分</w:t>
      </w:r>
    </w:p>
    <w:p w14:paraId="68D9F50F">
      <w:pPr>
        <w:spacing w:line="360" w:lineRule="auto"/>
        <w:ind w:firstLine="420" w:firstLineChars="200"/>
        <w:rPr>
          <w:rFonts w:hint="eastAsia"/>
          <w:bCs/>
        </w:rPr>
      </w:pPr>
      <w:r>
        <w:rPr>
          <w:rFonts w:hint="eastAsia"/>
          <w:bCs/>
        </w:rPr>
        <w:t>（9）反商业贿赂承诺书</w:t>
      </w:r>
    </w:p>
    <w:p w14:paraId="0C9B2348">
      <w:pPr>
        <w:spacing w:line="360" w:lineRule="auto"/>
        <w:ind w:firstLine="420" w:firstLineChars="200"/>
        <w:rPr>
          <w:rFonts w:hint="eastAsia"/>
          <w:bCs/>
        </w:rPr>
      </w:pPr>
      <w:r>
        <w:rPr>
          <w:rFonts w:hint="eastAsia"/>
          <w:bCs/>
        </w:rPr>
        <w:t>（10）中小企业声明函（如有）</w:t>
      </w:r>
    </w:p>
    <w:p w14:paraId="36A54B09">
      <w:pPr>
        <w:spacing w:line="360" w:lineRule="auto"/>
        <w:ind w:firstLine="420" w:firstLineChars="200"/>
        <w:rPr>
          <w:rFonts w:hint="eastAsia"/>
          <w:bCs/>
          <w:lang w:val="en-GB"/>
        </w:rPr>
      </w:pPr>
      <w:r>
        <w:rPr>
          <w:rFonts w:hint="eastAsia"/>
          <w:bCs/>
        </w:rPr>
        <w:t>（11）残疾人福利性单位声明函（如有）</w:t>
      </w:r>
    </w:p>
    <w:p w14:paraId="7E3C75DA">
      <w:pPr>
        <w:spacing w:line="360" w:lineRule="auto"/>
        <w:ind w:firstLine="420" w:firstLineChars="200"/>
        <w:rPr>
          <w:rFonts w:hint="eastAsia"/>
          <w:bCs/>
        </w:rPr>
      </w:pPr>
      <w:r>
        <w:rPr>
          <w:rFonts w:hint="eastAsia"/>
          <w:bCs/>
        </w:rPr>
        <w:t>（12）</w:t>
      </w:r>
      <w:r>
        <w:rPr>
          <w:rFonts w:hint="eastAsia"/>
          <w:bCs/>
          <w:lang w:val="en-GB"/>
        </w:rPr>
        <w:t>监狱企业证明材料</w:t>
      </w:r>
      <w:r>
        <w:rPr>
          <w:rFonts w:hint="eastAsia"/>
          <w:bCs/>
        </w:rPr>
        <w:t>（如有）</w:t>
      </w:r>
    </w:p>
    <w:p w14:paraId="70822760">
      <w:pPr>
        <w:spacing w:line="360" w:lineRule="auto"/>
        <w:ind w:firstLine="420" w:firstLineChars="200"/>
        <w:rPr>
          <w:rFonts w:hint="eastAsia"/>
          <w:bCs/>
        </w:rPr>
      </w:pPr>
      <w:r>
        <w:rPr>
          <w:rFonts w:hint="eastAsia"/>
          <w:bCs/>
        </w:rPr>
        <w:t>（13）其他资料</w:t>
      </w:r>
    </w:p>
    <w:p w14:paraId="4C2D7F64">
      <w:pPr>
        <w:pStyle w:val="4"/>
        <w:numPr>
          <w:ilvl w:val="1"/>
          <w:numId w:val="3"/>
        </w:numPr>
        <w:spacing w:before="140" w:after="140"/>
        <w:rPr>
          <w:rFonts w:hint="eastAsia"/>
        </w:rPr>
      </w:pPr>
      <w:bookmarkStart w:id="289" w:name="_Toc4941"/>
      <w:bookmarkStart w:id="290" w:name="_Toc2826"/>
      <w:bookmarkStart w:id="291" w:name="_Toc28885"/>
      <w:bookmarkStart w:id="292" w:name="_Toc1833"/>
      <w:bookmarkStart w:id="293" w:name="_Toc32754"/>
      <w:bookmarkStart w:id="294" w:name="_Toc25737"/>
      <w:r>
        <w:rPr>
          <w:rFonts w:hint="eastAsia"/>
        </w:rPr>
        <w:t>投标报价</w:t>
      </w:r>
      <w:bookmarkEnd w:id="289"/>
      <w:bookmarkEnd w:id="290"/>
      <w:bookmarkEnd w:id="291"/>
      <w:bookmarkEnd w:id="292"/>
      <w:bookmarkEnd w:id="293"/>
      <w:bookmarkEnd w:id="294"/>
    </w:p>
    <w:p w14:paraId="087D005D">
      <w:pPr>
        <w:numPr>
          <w:ilvl w:val="2"/>
          <w:numId w:val="3"/>
        </w:numPr>
        <w:spacing w:line="360" w:lineRule="auto"/>
        <w:ind w:left="0" w:firstLine="420" w:firstLineChars="200"/>
        <w:rPr>
          <w:rFonts w:hint="eastAsia"/>
          <w:szCs w:val="21"/>
        </w:rPr>
      </w:pPr>
      <w:r>
        <w:rPr>
          <w:rFonts w:hint="eastAsia"/>
          <w:szCs w:val="21"/>
        </w:rPr>
        <w:t>投标人应按照招标文件提供的投标报价表格式填写投标报价。</w:t>
      </w:r>
    </w:p>
    <w:p w14:paraId="3E83ABE1">
      <w:pPr>
        <w:numPr>
          <w:ilvl w:val="2"/>
          <w:numId w:val="3"/>
        </w:numPr>
        <w:spacing w:line="360" w:lineRule="auto"/>
        <w:ind w:left="0" w:firstLine="420" w:firstLineChars="200"/>
        <w:rPr>
          <w:rFonts w:hint="eastAsia"/>
          <w:szCs w:val="21"/>
        </w:rPr>
      </w:pPr>
      <w:r>
        <w:rPr>
          <w:rFonts w:hint="eastAsia"/>
          <w:szCs w:val="21"/>
        </w:rPr>
        <w:t>投标总报价应是指满足采购需求所需的全部费用。未填入报价项目评标委员会可以认定为已包含在总报价，也可能做出对投标人不利的判断，后果由投标人自行承担。</w:t>
      </w:r>
    </w:p>
    <w:p w14:paraId="5C65A423">
      <w:pPr>
        <w:numPr>
          <w:ilvl w:val="2"/>
          <w:numId w:val="3"/>
        </w:numPr>
        <w:spacing w:line="360" w:lineRule="auto"/>
        <w:ind w:left="0" w:firstLine="420" w:firstLineChars="200"/>
        <w:rPr>
          <w:rFonts w:hint="eastAsia"/>
          <w:szCs w:val="21"/>
        </w:rPr>
      </w:pPr>
      <w:r>
        <w:rPr>
          <w:rFonts w:hint="eastAsia"/>
          <w:szCs w:val="21"/>
        </w:rPr>
        <w:t>投标人根据上述规定所作分项报价的目的只是为了评标时对投标文件进行比较的方便，但并不限制采购人订立合同的权力。</w:t>
      </w:r>
    </w:p>
    <w:p w14:paraId="4256C4E8">
      <w:pPr>
        <w:numPr>
          <w:ilvl w:val="2"/>
          <w:numId w:val="3"/>
        </w:numPr>
        <w:spacing w:line="360" w:lineRule="auto"/>
        <w:ind w:left="0" w:firstLine="420" w:firstLineChars="200"/>
        <w:rPr>
          <w:rFonts w:hint="eastAsia"/>
          <w:szCs w:val="21"/>
        </w:rPr>
      </w:pPr>
      <w:r>
        <w:rPr>
          <w:rFonts w:hint="eastAsia"/>
          <w:szCs w:val="21"/>
        </w:rPr>
        <w:t>投标报价应完全包括招标文件规定的全部服务范围，不得任意分割或合并所规定的分项。</w:t>
      </w:r>
    </w:p>
    <w:p w14:paraId="15CCCB3B">
      <w:pPr>
        <w:numPr>
          <w:ilvl w:val="2"/>
          <w:numId w:val="3"/>
        </w:numPr>
        <w:spacing w:line="360" w:lineRule="auto"/>
        <w:ind w:left="0" w:firstLine="420" w:firstLineChars="200"/>
        <w:rPr>
          <w:rFonts w:hint="eastAsia"/>
          <w:szCs w:val="21"/>
        </w:rPr>
      </w:pPr>
      <w:r>
        <w:rPr>
          <w:rFonts w:hint="eastAsia"/>
          <w:szCs w:val="21"/>
        </w:rPr>
        <w:t>只允许有一个报价，采购人和采购代理机构不接受有任何选择报价的投标。</w:t>
      </w:r>
    </w:p>
    <w:p w14:paraId="6C9D4CD4">
      <w:pPr>
        <w:spacing w:line="360" w:lineRule="auto"/>
        <w:ind w:firstLine="420" w:firstLineChars="200"/>
        <w:rPr>
          <w:rFonts w:hint="eastAsia"/>
          <w:szCs w:val="21"/>
        </w:rPr>
      </w:pPr>
      <w:r>
        <w:rPr>
          <w:rFonts w:hint="eastAsia"/>
          <w:szCs w:val="21"/>
        </w:rPr>
        <w:t>3.2.6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69995C45">
      <w:pPr>
        <w:pStyle w:val="4"/>
        <w:numPr>
          <w:ilvl w:val="1"/>
          <w:numId w:val="3"/>
        </w:numPr>
        <w:spacing w:before="140" w:after="140"/>
        <w:rPr>
          <w:rFonts w:hint="eastAsia"/>
        </w:rPr>
      </w:pPr>
      <w:bookmarkStart w:id="295" w:name="_Toc28543"/>
      <w:bookmarkStart w:id="296" w:name="_Toc22838"/>
      <w:bookmarkStart w:id="297" w:name="_Toc26916"/>
      <w:bookmarkStart w:id="298" w:name="_Toc31023"/>
      <w:bookmarkStart w:id="299" w:name="_Toc13817"/>
      <w:bookmarkStart w:id="300" w:name="_Toc25999"/>
      <w:r>
        <w:rPr>
          <w:rFonts w:hint="eastAsia"/>
        </w:rPr>
        <w:t>投标人资格的证明文件</w:t>
      </w:r>
      <w:bookmarkEnd w:id="295"/>
      <w:bookmarkEnd w:id="296"/>
      <w:bookmarkEnd w:id="297"/>
      <w:bookmarkEnd w:id="298"/>
      <w:bookmarkEnd w:id="299"/>
      <w:bookmarkEnd w:id="300"/>
    </w:p>
    <w:p w14:paraId="3B75BBA0">
      <w:pPr>
        <w:spacing w:line="360" w:lineRule="auto"/>
        <w:ind w:firstLine="420" w:firstLineChars="200"/>
        <w:rPr>
          <w:rFonts w:hint="eastAsia"/>
          <w:szCs w:val="21"/>
        </w:rPr>
      </w:pPr>
      <w:bookmarkStart w:id="301" w:name="_Toc28461"/>
      <w:bookmarkStart w:id="302" w:name="_Toc30002"/>
      <w:r>
        <w:rPr>
          <w:rFonts w:hint="eastAsia"/>
          <w:szCs w:val="21"/>
        </w:rPr>
        <w:t>依据投标人须知前附表中的要求提交相应的资格证明文件，作为投标文件资格审查册的一部分，以证明其有资格进行投标和有能力履行合同。</w:t>
      </w:r>
    </w:p>
    <w:p w14:paraId="2EABCCEE">
      <w:pPr>
        <w:pStyle w:val="4"/>
        <w:numPr>
          <w:ilvl w:val="1"/>
          <w:numId w:val="3"/>
        </w:numPr>
        <w:spacing w:before="140" w:after="140"/>
        <w:rPr>
          <w:rFonts w:hint="eastAsia"/>
        </w:rPr>
      </w:pPr>
      <w:bookmarkStart w:id="303" w:name="_Toc23240"/>
      <w:bookmarkStart w:id="304" w:name="_Toc13866"/>
      <w:bookmarkStart w:id="305" w:name="_Toc7564"/>
      <w:bookmarkStart w:id="306" w:name="_Toc21420"/>
      <w:r>
        <w:rPr>
          <w:rFonts w:hint="eastAsia"/>
        </w:rPr>
        <w:t>投标人技术证明文件</w:t>
      </w:r>
      <w:bookmarkEnd w:id="301"/>
      <w:bookmarkEnd w:id="302"/>
      <w:bookmarkEnd w:id="303"/>
      <w:bookmarkEnd w:id="304"/>
      <w:bookmarkEnd w:id="305"/>
      <w:bookmarkEnd w:id="306"/>
    </w:p>
    <w:p w14:paraId="0FE19E35">
      <w:pPr>
        <w:numPr>
          <w:ilvl w:val="2"/>
          <w:numId w:val="3"/>
        </w:numPr>
        <w:spacing w:line="360" w:lineRule="auto"/>
        <w:ind w:left="0" w:firstLine="420" w:firstLineChars="200"/>
        <w:rPr>
          <w:rFonts w:hint="eastAsia"/>
          <w:szCs w:val="21"/>
        </w:rPr>
      </w:pPr>
      <w:bookmarkStart w:id="307" w:name="_Toc14418"/>
      <w:bookmarkStart w:id="308" w:name="_Toc26473"/>
      <w:bookmarkStart w:id="309" w:name="_Toc26009"/>
      <w:r>
        <w:rPr>
          <w:rFonts w:hint="eastAsia"/>
          <w:szCs w:val="21"/>
        </w:rPr>
        <w:t>投标人应提交证明其拟供货物及伴随服务符合招标文件规定的技术证明文件，作为投标文件的一部分。</w:t>
      </w:r>
    </w:p>
    <w:p w14:paraId="5D7EFF44">
      <w:pPr>
        <w:numPr>
          <w:ilvl w:val="2"/>
          <w:numId w:val="3"/>
        </w:numPr>
        <w:spacing w:line="360" w:lineRule="auto"/>
        <w:ind w:left="0" w:firstLine="420" w:firstLineChars="200"/>
        <w:rPr>
          <w:rFonts w:hint="eastAsia"/>
          <w:szCs w:val="21"/>
        </w:rPr>
      </w:pPr>
      <w:r>
        <w:rPr>
          <w:rFonts w:hint="eastAsia"/>
          <w:szCs w:val="21"/>
        </w:rPr>
        <w:t>在投标文件中应说明各项货物名称、数量、单价、规格型号等。</w:t>
      </w:r>
    </w:p>
    <w:p w14:paraId="6C13AD64">
      <w:pPr>
        <w:numPr>
          <w:ilvl w:val="2"/>
          <w:numId w:val="3"/>
        </w:numPr>
        <w:spacing w:line="360" w:lineRule="auto"/>
        <w:ind w:left="0" w:firstLine="420" w:firstLineChars="200"/>
        <w:rPr>
          <w:rFonts w:hint="eastAsia"/>
          <w:szCs w:val="21"/>
        </w:rPr>
      </w:pPr>
      <w:r>
        <w:rPr>
          <w:rFonts w:hint="eastAsia"/>
          <w:szCs w:val="21"/>
        </w:rPr>
        <w:t>证明文件可以是文字资料、图纸和数据。</w:t>
      </w:r>
    </w:p>
    <w:p w14:paraId="49EFBF6D">
      <w:pPr>
        <w:pStyle w:val="4"/>
        <w:numPr>
          <w:ilvl w:val="1"/>
          <w:numId w:val="3"/>
        </w:numPr>
        <w:spacing w:before="140" w:after="140"/>
        <w:rPr>
          <w:rFonts w:hint="eastAsia"/>
        </w:rPr>
      </w:pPr>
      <w:bookmarkStart w:id="310" w:name="_Toc20716"/>
      <w:bookmarkStart w:id="311" w:name="_Toc23963"/>
      <w:bookmarkStart w:id="312" w:name="_Toc29192"/>
      <w:r>
        <w:rPr>
          <w:rFonts w:hint="eastAsia"/>
        </w:rPr>
        <w:t>投标保证金</w:t>
      </w:r>
      <w:bookmarkEnd w:id="307"/>
      <w:bookmarkEnd w:id="308"/>
      <w:bookmarkEnd w:id="309"/>
      <w:bookmarkEnd w:id="310"/>
      <w:bookmarkEnd w:id="311"/>
      <w:bookmarkEnd w:id="312"/>
    </w:p>
    <w:p w14:paraId="0D8F9A3C">
      <w:pPr>
        <w:numPr>
          <w:ilvl w:val="0"/>
          <w:numId w:val="11"/>
        </w:numPr>
        <w:autoSpaceDE w:val="0"/>
        <w:autoSpaceDN w:val="0"/>
        <w:adjustRightInd w:val="0"/>
        <w:spacing w:line="360" w:lineRule="auto"/>
        <w:ind w:left="0" w:right="40" w:firstLine="420" w:firstLineChars="200"/>
        <w:jc w:val="left"/>
        <w:rPr>
          <w:rFonts w:hint="eastAsia"/>
          <w:szCs w:val="21"/>
        </w:rPr>
      </w:pPr>
      <w:r>
        <w:rPr>
          <w:rFonts w:hint="eastAsia"/>
          <w:kern w:val="0"/>
          <w:szCs w:val="21"/>
        </w:rPr>
        <w:t>本项目不需要。</w:t>
      </w:r>
    </w:p>
    <w:p w14:paraId="591C96E9">
      <w:pPr>
        <w:pStyle w:val="4"/>
        <w:numPr>
          <w:ilvl w:val="1"/>
          <w:numId w:val="3"/>
        </w:numPr>
        <w:spacing w:before="140" w:after="140"/>
        <w:rPr>
          <w:rFonts w:hint="eastAsia"/>
        </w:rPr>
      </w:pPr>
      <w:bookmarkStart w:id="313" w:name="_Toc11525"/>
      <w:bookmarkStart w:id="314" w:name="_Toc11749"/>
      <w:bookmarkStart w:id="315" w:name="_Toc22418"/>
      <w:bookmarkStart w:id="316" w:name="_Toc26671"/>
      <w:bookmarkStart w:id="317" w:name="_Toc878"/>
      <w:bookmarkStart w:id="318" w:name="_Toc29010"/>
      <w:r>
        <w:rPr>
          <w:rFonts w:hint="eastAsia"/>
        </w:rPr>
        <w:t>投标有效期</w:t>
      </w:r>
      <w:bookmarkEnd w:id="313"/>
      <w:bookmarkEnd w:id="314"/>
      <w:bookmarkEnd w:id="315"/>
      <w:bookmarkEnd w:id="316"/>
      <w:bookmarkEnd w:id="317"/>
      <w:bookmarkEnd w:id="318"/>
    </w:p>
    <w:p w14:paraId="38D63B71">
      <w:pPr>
        <w:numPr>
          <w:ilvl w:val="2"/>
          <w:numId w:val="3"/>
        </w:numPr>
        <w:spacing w:line="360" w:lineRule="auto"/>
        <w:ind w:left="0" w:firstLine="420" w:firstLineChars="200"/>
        <w:rPr>
          <w:rFonts w:hint="eastAsia"/>
          <w:b/>
          <w:bCs/>
          <w:szCs w:val="21"/>
        </w:rPr>
      </w:pPr>
      <w:bookmarkStart w:id="319" w:name="OLE_LINK26"/>
      <w:r>
        <w:rPr>
          <w:rFonts w:hint="eastAsia"/>
          <w:szCs w:val="21"/>
        </w:rPr>
        <w:t>投标有效期见投标人须知前附表，从递交投标文件的截止之日起算</w:t>
      </w:r>
      <w:r>
        <w:rPr>
          <w:rFonts w:hint="eastAsia"/>
          <w:b/>
          <w:bCs/>
          <w:szCs w:val="21"/>
        </w:rPr>
        <w:t>。</w:t>
      </w:r>
    </w:p>
    <w:p w14:paraId="0DB32CE1">
      <w:pPr>
        <w:numPr>
          <w:ilvl w:val="2"/>
          <w:numId w:val="3"/>
        </w:numPr>
        <w:spacing w:line="360" w:lineRule="auto"/>
        <w:ind w:left="0" w:firstLine="420" w:firstLineChars="200"/>
        <w:rPr>
          <w:rFonts w:hint="eastAsia"/>
          <w:szCs w:val="21"/>
        </w:rPr>
      </w:pPr>
      <w:r>
        <w:rPr>
          <w:rFonts w:hint="eastAsia"/>
          <w:szCs w:val="21"/>
        </w:rPr>
        <w:t>投标文件应自递交投标文件的截止之日起，在投标人须知前附表规定的时间内保持有效。投标有效期不足的将被视为非响应投标而予以拒绝。</w:t>
      </w:r>
    </w:p>
    <w:p w14:paraId="2DCD6A83">
      <w:pPr>
        <w:numPr>
          <w:ilvl w:val="2"/>
          <w:numId w:val="3"/>
        </w:numPr>
        <w:spacing w:line="360" w:lineRule="auto"/>
        <w:ind w:left="0" w:firstLine="420" w:firstLineChars="200"/>
        <w:rPr>
          <w:rFonts w:hint="eastAsia"/>
          <w:szCs w:val="21"/>
        </w:rPr>
      </w:pPr>
      <w:r>
        <w:rPr>
          <w:rFonts w:hint="eastAsia"/>
          <w:szCs w:val="21"/>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bookmarkEnd w:id="319"/>
      <w:r>
        <w:rPr>
          <w:rFonts w:hint="eastAsia"/>
          <w:szCs w:val="21"/>
        </w:rPr>
        <w:t>。</w:t>
      </w:r>
    </w:p>
    <w:p w14:paraId="3C7BF4F6">
      <w:pPr>
        <w:pStyle w:val="4"/>
        <w:numPr>
          <w:ilvl w:val="1"/>
          <w:numId w:val="3"/>
        </w:numPr>
        <w:spacing w:before="140" w:after="140"/>
        <w:rPr>
          <w:rFonts w:hint="eastAsia"/>
        </w:rPr>
      </w:pPr>
      <w:bookmarkStart w:id="320" w:name="_Toc10777"/>
      <w:bookmarkStart w:id="321" w:name="_Toc5773"/>
      <w:bookmarkStart w:id="322" w:name="_Toc25251"/>
      <w:bookmarkStart w:id="323" w:name="_Toc9753"/>
      <w:bookmarkStart w:id="324" w:name="_Toc8140"/>
      <w:bookmarkStart w:id="325" w:name="_Toc25268"/>
      <w:r>
        <w:rPr>
          <w:rFonts w:hint="eastAsia"/>
        </w:rPr>
        <w:t>投标文件编制</w:t>
      </w:r>
      <w:bookmarkEnd w:id="320"/>
      <w:bookmarkEnd w:id="321"/>
      <w:bookmarkEnd w:id="322"/>
      <w:bookmarkEnd w:id="323"/>
      <w:bookmarkEnd w:id="324"/>
      <w:bookmarkEnd w:id="325"/>
    </w:p>
    <w:p w14:paraId="7A71653E">
      <w:pPr>
        <w:numPr>
          <w:ilvl w:val="2"/>
          <w:numId w:val="3"/>
        </w:numPr>
        <w:spacing w:line="360" w:lineRule="auto"/>
        <w:ind w:left="0" w:firstLine="420" w:firstLineChars="200"/>
        <w:rPr>
          <w:rFonts w:hint="eastAsia"/>
          <w:szCs w:val="21"/>
        </w:rPr>
      </w:pPr>
      <w:bookmarkStart w:id="326" w:name="OLE_LINK25"/>
      <w:bookmarkStart w:id="327" w:name="_Toc312133546"/>
      <w:r>
        <w:rPr>
          <w:rFonts w:hint="eastAsia"/>
          <w:szCs w:val="21"/>
        </w:rPr>
        <w:t>投标文件应按“投标文件资格审查册通用格式”“投标文件通用格式”进行编写，如有必要，可以增加附页，作为投标文件的组成部分。其中，开标一览表在满足招标文件实质性要求的基础上，可以提出比招标文件要求更有利于采购人的承诺。</w:t>
      </w:r>
    </w:p>
    <w:p w14:paraId="6B460098">
      <w:pPr>
        <w:numPr>
          <w:ilvl w:val="2"/>
          <w:numId w:val="3"/>
        </w:numPr>
        <w:spacing w:line="360" w:lineRule="auto"/>
        <w:ind w:left="0" w:firstLine="420" w:firstLineChars="200"/>
        <w:rPr>
          <w:rFonts w:hint="eastAsia"/>
          <w:szCs w:val="21"/>
        </w:rPr>
      </w:pPr>
      <w:r>
        <w:rPr>
          <w:rFonts w:hint="eastAsia"/>
          <w:szCs w:val="21"/>
        </w:rPr>
        <w:t>投标文件应当对招标文件有关投标有效期、采购范围等实质性内容作出响应。</w:t>
      </w:r>
    </w:p>
    <w:p w14:paraId="7791B7D5">
      <w:pPr>
        <w:pStyle w:val="21"/>
        <w:spacing w:line="360" w:lineRule="auto"/>
        <w:rPr>
          <w:rFonts w:hint="eastAsia" w:eastAsia="宋体"/>
          <w:b/>
          <w:bCs/>
          <w:sz w:val="21"/>
          <w:szCs w:val="21"/>
        </w:rPr>
      </w:pPr>
      <w:r>
        <w:rPr>
          <w:rFonts w:hint="eastAsia" w:eastAsia="宋体"/>
          <w:sz w:val="21"/>
          <w:szCs w:val="21"/>
        </w:rPr>
        <w:t>3.7.3 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2C4666E2">
      <w:pPr>
        <w:spacing w:line="360" w:lineRule="auto"/>
        <w:ind w:firstLine="420" w:firstLineChars="200"/>
        <w:rPr>
          <w:rFonts w:hint="eastAsia"/>
          <w:szCs w:val="21"/>
        </w:rPr>
      </w:pPr>
      <w:r>
        <w:rPr>
          <w:rFonts w:hint="eastAsia"/>
          <w:szCs w:val="21"/>
        </w:rPr>
        <w:t>3.7.4 电报、电传和传真投标文件一律不接受</w:t>
      </w:r>
      <w:bookmarkEnd w:id="326"/>
      <w:r>
        <w:rPr>
          <w:rFonts w:hint="eastAsia"/>
          <w:szCs w:val="21"/>
        </w:rPr>
        <w:t>。</w:t>
      </w:r>
    </w:p>
    <w:p w14:paraId="23E5B35C">
      <w:pPr>
        <w:pStyle w:val="3"/>
        <w:numPr>
          <w:ilvl w:val="0"/>
          <w:numId w:val="3"/>
        </w:numPr>
        <w:tabs>
          <w:tab w:val="left" w:pos="721"/>
          <w:tab w:val="left" w:pos="840"/>
          <w:tab w:val="left" w:pos="2880"/>
          <w:tab w:val="left" w:pos="3780"/>
        </w:tabs>
        <w:jc w:val="both"/>
        <w:rPr>
          <w:rFonts w:hint="eastAsia" w:ascii="宋体" w:hAnsi="宋体"/>
          <w:szCs w:val="24"/>
        </w:rPr>
      </w:pPr>
      <w:bookmarkStart w:id="328" w:name="_Toc8702"/>
      <w:bookmarkStart w:id="329" w:name="_Toc10788"/>
      <w:bookmarkStart w:id="330" w:name="_Toc11242"/>
      <w:r>
        <w:rPr>
          <w:rFonts w:hint="eastAsia" w:ascii="宋体" w:hAnsi="宋体"/>
          <w:szCs w:val="24"/>
        </w:rPr>
        <w:t>投标</w:t>
      </w:r>
      <w:bookmarkEnd w:id="327"/>
      <w:bookmarkEnd w:id="328"/>
      <w:bookmarkEnd w:id="329"/>
      <w:bookmarkEnd w:id="330"/>
    </w:p>
    <w:p w14:paraId="3E1EA04C">
      <w:pPr>
        <w:pStyle w:val="4"/>
        <w:numPr>
          <w:ilvl w:val="1"/>
          <w:numId w:val="3"/>
        </w:numPr>
        <w:rPr>
          <w:rFonts w:hint="eastAsia"/>
        </w:rPr>
      </w:pPr>
      <w:bookmarkStart w:id="331" w:name="_Toc7004"/>
      <w:bookmarkStart w:id="332" w:name="_Toc23777"/>
      <w:bookmarkStart w:id="333" w:name="_Toc22690"/>
      <w:bookmarkStart w:id="334" w:name="_Toc32620"/>
      <w:bookmarkStart w:id="335" w:name="_Toc15515"/>
      <w:bookmarkStart w:id="336" w:name="_Toc9486"/>
      <w:bookmarkStart w:id="337" w:name="_Toc25740"/>
      <w:bookmarkStart w:id="338" w:name="_Toc2541"/>
      <w:bookmarkStart w:id="339" w:name="_Toc7201"/>
      <w:bookmarkStart w:id="340" w:name="_Toc24770"/>
      <w:bookmarkStart w:id="341" w:name="_Toc1285"/>
      <w:bookmarkStart w:id="342" w:name="_Toc24089"/>
      <w:bookmarkStart w:id="343" w:name="_Toc17190"/>
      <w:bookmarkStart w:id="344" w:name="_Toc312133547"/>
      <w:r>
        <w:rPr>
          <w:rFonts w:hint="eastAsia"/>
        </w:rPr>
        <w:t>投标文件的密封</w:t>
      </w:r>
      <w:bookmarkEnd w:id="331"/>
      <w:bookmarkEnd w:id="332"/>
      <w:bookmarkEnd w:id="333"/>
      <w:bookmarkEnd w:id="334"/>
      <w:bookmarkEnd w:id="335"/>
      <w:bookmarkEnd w:id="336"/>
      <w:bookmarkEnd w:id="337"/>
      <w:bookmarkEnd w:id="338"/>
      <w:bookmarkEnd w:id="339"/>
      <w:bookmarkEnd w:id="340"/>
      <w:bookmarkEnd w:id="341"/>
      <w:bookmarkEnd w:id="342"/>
      <w:bookmarkEnd w:id="343"/>
      <w:r>
        <w:rPr>
          <w:rFonts w:hint="eastAsia"/>
        </w:rPr>
        <w:t>和标记</w:t>
      </w:r>
    </w:p>
    <w:p w14:paraId="37F84F36">
      <w:pPr>
        <w:autoSpaceDE w:val="0"/>
        <w:autoSpaceDN w:val="0"/>
        <w:adjustRightInd w:val="0"/>
        <w:spacing w:line="360" w:lineRule="auto"/>
        <w:ind w:firstLine="420" w:firstLineChars="200"/>
        <w:rPr>
          <w:rFonts w:hint="eastAsia"/>
          <w:szCs w:val="21"/>
        </w:rPr>
      </w:pPr>
      <w:r>
        <w:rPr>
          <w:rFonts w:hint="eastAsia"/>
          <w:szCs w:val="21"/>
        </w:rPr>
        <w:t>4.1.1</w:t>
      </w:r>
      <w:bookmarkStart w:id="345" w:name="OLE_LINK24"/>
      <w:r>
        <w:rPr>
          <w:rFonts w:hint="eastAsia"/>
          <w:szCs w:val="21"/>
        </w:rPr>
        <w:t>投标人应当按照招标文件和电子招标投标交易平台的要求加密投标文件</w:t>
      </w:r>
      <w:bookmarkEnd w:id="345"/>
      <w:r>
        <w:rPr>
          <w:rFonts w:hint="eastAsia"/>
          <w:szCs w:val="21"/>
        </w:rPr>
        <w:t>。</w:t>
      </w:r>
    </w:p>
    <w:p w14:paraId="4C03AF05">
      <w:pPr>
        <w:pStyle w:val="4"/>
        <w:numPr>
          <w:ilvl w:val="1"/>
          <w:numId w:val="3"/>
        </w:numPr>
        <w:rPr>
          <w:rFonts w:hint="eastAsia"/>
        </w:rPr>
      </w:pPr>
      <w:bookmarkStart w:id="346" w:name="_Toc10849"/>
      <w:bookmarkStart w:id="347" w:name="_Toc14647"/>
      <w:bookmarkStart w:id="348" w:name="_Toc8642"/>
      <w:bookmarkStart w:id="349" w:name="_Toc17164"/>
      <w:bookmarkStart w:id="350" w:name="_Toc27621"/>
      <w:bookmarkStart w:id="351" w:name="_Toc20161"/>
      <w:bookmarkStart w:id="352" w:name="_Toc2882"/>
      <w:bookmarkStart w:id="353" w:name="_Toc28937"/>
      <w:bookmarkStart w:id="354" w:name="_Toc17234"/>
      <w:bookmarkStart w:id="355" w:name="_Toc25206"/>
      <w:bookmarkStart w:id="356" w:name="_Toc24802"/>
      <w:bookmarkStart w:id="357" w:name="_Toc27859"/>
      <w:bookmarkStart w:id="358" w:name="_Toc7745"/>
      <w:r>
        <w:rPr>
          <w:rFonts w:hint="eastAsia"/>
        </w:rPr>
        <w:t>投标文件的递交</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45E3BF1">
      <w:pPr>
        <w:numPr>
          <w:ilvl w:val="2"/>
          <w:numId w:val="3"/>
        </w:numPr>
        <w:spacing w:line="360" w:lineRule="auto"/>
        <w:ind w:left="0" w:firstLine="420" w:firstLineChars="200"/>
        <w:rPr>
          <w:rFonts w:hint="eastAsia"/>
          <w:szCs w:val="21"/>
        </w:rPr>
      </w:pPr>
      <w:bookmarkStart w:id="359" w:name="OLE_LINK23"/>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应</w:t>
      </w:r>
      <w:r>
        <w:rPr>
          <w:rFonts w:hint="eastAsia"/>
          <w:kern w:val="0"/>
          <w:szCs w:val="21"/>
        </w:rPr>
        <w:t>在</w:t>
      </w:r>
      <w:r>
        <w:rPr>
          <w:rFonts w:hint="eastAsia"/>
          <w:spacing w:val="-2"/>
          <w:kern w:val="0"/>
          <w:szCs w:val="21"/>
        </w:rPr>
        <w:t>投</w:t>
      </w:r>
      <w:r>
        <w:rPr>
          <w:rFonts w:hint="eastAsia"/>
          <w:kern w:val="0"/>
          <w:szCs w:val="21"/>
        </w:rPr>
        <w:t>标</w:t>
      </w:r>
      <w:r>
        <w:rPr>
          <w:rFonts w:hint="eastAsia"/>
          <w:spacing w:val="-2"/>
          <w:kern w:val="0"/>
          <w:szCs w:val="21"/>
        </w:rPr>
        <w:t>人须</w:t>
      </w:r>
      <w:r>
        <w:rPr>
          <w:rFonts w:hint="eastAsia"/>
          <w:kern w:val="0"/>
          <w:szCs w:val="21"/>
        </w:rPr>
        <w:t>知前</w:t>
      </w:r>
      <w:r>
        <w:rPr>
          <w:rFonts w:hint="eastAsia"/>
          <w:spacing w:val="-2"/>
          <w:kern w:val="0"/>
          <w:szCs w:val="21"/>
        </w:rPr>
        <w:t>附</w:t>
      </w:r>
      <w:r>
        <w:rPr>
          <w:rFonts w:hint="eastAsia"/>
          <w:kern w:val="0"/>
          <w:szCs w:val="21"/>
        </w:rPr>
        <w:t>表</w:t>
      </w:r>
      <w:r>
        <w:rPr>
          <w:rFonts w:hint="eastAsia"/>
          <w:spacing w:val="-2"/>
          <w:kern w:val="0"/>
          <w:szCs w:val="21"/>
        </w:rPr>
        <w:t>规</w:t>
      </w:r>
      <w:r>
        <w:rPr>
          <w:rFonts w:hint="eastAsia"/>
          <w:kern w:val="0"/>
          <w:szCs w:val="21"/>
        </w:rPr>
        <w:t>定</w:t>
      </w:r>
      <w:r>
        <w:rPr>
          <w:rFonts w:hint="eastAsia"/>
          <w:spacing w:val="-2"/>
          <w:kern w:val="0"/>
          <w:szCs w:val="21"/>
        </w:rPr>
        <w:t>的</w:t>
      </w:r>
      <w:r>
        <w:rPr>
          <w:rFonts w:hint="eastAsia"/>
          <w:kern w:val="0"/>
          <w:szCs w:val="21"/>
        </w:rPr>
        <w:t>投</w:t>
      </w:r>
      <w:r>
        <w:rPr>
          <w:rFonts w:hint="eastAsia"/>
          <w:spacing w:val="-2"/>
          <w:kern w:val="0"/>
          <w:szCs w:val="21"/>
        </w:rPr>
        <w:t>标</w:t>
      </w:r>
      <w:r>
        <w:rPr>
          <w:rFonts w:hint="eastAsia"/>
          <w:kern w:val="0"/>
          <w:szCs w:val="21"/>
        </w:rPr>
        <w:t>截</w:t>
      </w:r>
      <w:r>
        <w:rPr>
          <w:rFonts w:hint="eastAsia"/>
          <w:spacing w:val="-2"/>
          <w:kern w:val="0"/>
          <w:szCs w:val="21"/>
        </w:rPr>
        <w:t>止</w:t>
      </w:r>
      <w:r>
        <w:rPr>
          <w:rFonts w:hint="eastAsia"/>
          <w:kern w:val="0"/>
          <w:szCs w:val="21"/>
        </w:rPr>
        <w:t>时间</w:t>
      </w:r>
      <w:r>
        <w:rPr>
          <w:rFonts w:hint="eastAsia"/>
          <w:spacing w:val="-2"/>
          <w:kern w:val="0"/>
          <w:szCs w:val="21"/>
        </w:rPr>
        <w:t>前</w:t>
      </w:r>
      <w:r>
        <w:rPr>
          <w:rFonts w:hint="eastAsia"/>
          <w:kern w:val="0"/>
          <w:szCs w:val="21"/>
        </w:rPr>
        <w:t>递</w:t>
      </w:r>
      <w:r>
        <w:rPr>
          <w:rFonts w:hint="eastAsia"/>
          <w:spacing w:val="-2"/>
          <w:kern w:val="0"/>
          <w:szCs w:val="21"/>
        </w:rPr>
        <w:t>交</w:t>
      </w:r>
      <w:r>
        <w:rPr>
          <w:rFonts w:hint="eastAsia"/>
          <w:kern w:val="0"/>
          <w:szCs w:val="21"/>
        </w:rPr>
        <w:t>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w:t>
      </w:r>
    </w:p>
    <w:p w14:paraId="6E2E6051">
      <w:pPr>
        <w:spacing w:line="360" w:lineRule="auto"/>
        <w:ind w:firstLine="420" w:firstLineChars="200"/>
        <w:rPr>
          <w:rFonts w:hint="eastAsia"/>
        </w:rPr>
      </w:pPr>
      <w:r>
        <w:rPr>
          <w:rFonts w:hint="eastAsia"/>
          <w:szCs w:val="21"/>
        </w:rPr>
        <w:t>4.2.2 投标人通过下载招标文件的电子招标投标交易平台递交电子投标文件，具体要求见投标人须知前附表。</w:t>
      </w:r>
    </w:p>
    <w:p w14:paraId="0432067B">
      <w:pPr>
        <w:spacing w:line="360" w:lineRule="auto"/>
        <w:ind w:firstLine="420" w:firstLineChars="200"/>
        <w:rPr>
          <w:rFonts w:hint="eastAsia"/>
        </w:rPr>
      </w:pPr>
      <w:r>
        <w:rPr>
          <w:rFonts w:hint="eastAsia"/>
          <w:szCs w:val="21"/>
        </w:rPr>
        <w:t>4.2.3 投标人完成电子投标文件上传后，电子招标投标交易平台即时向投标人发出递交回执通知。递交时间以递交回执通知载明的传输完成时间为准。</w:t>
      </w:r>
    </w:p>
    <w:p w14:paraId="0E2F4453">
      <w:pPr>
        <w:spacing w:line="360" w:lineRule="auto"/>
        <w:ind w:firstLine="420" w:firstLineChars="200"/>
        <w:rPr>
          <w:rFonts w:hint="eastAsia"/>
        </w:rPr>
      </w:pPr>
      <w:r>
        <w:rPr>
          <w:rFonts w:hint="eastAsia"/>
          <w:szCs w:val="21"/>
        </w:rPr>
        <w:t>4.2.4 逾期送达的投标文件或未按规定加密的投标文件，电子招标投标交易平台将予以拒收</w:t>
      </w:r>
      <w:bookmarkEnd w:id="359"/>
      <w:r>
        <w:rPr>
          <w:rFonts w:hint="eastAsia"/>
          <w:szCs w:val="21"/>
        </w:rPr>
        <w:t>。</w:t>
      </w:r>
    </w:p>
    <w:p w14:paraId="465CDB00">
      <w:pPr>
        <w:pStyle w:val="4"/>
        <w:numPr>
          <w:ilvl w:val="1"/>
          <w:numId w:val="3"/>
        </w:numPr>
        <w:rPr>
          <w:rFonts w:hint="eastAsia"/>
        </w:rPr>
      </w:pPr>
      <w:bookmarkStart w:id="360" w:name="_Toc3471"/>
      <w:bookmarkStart w:id="361" w:name="_Toc27900"/>
      <w:bookmarkStart w:id="362" w:name="_Toc13886"/>
      <w:bookmarkStart w:id="363" w:name="_Toc27084"/>
      <w:bookmarkStart w:id="364" w:name="_Toc23125"/>
      <w:bookmarkStart w:id="365" w:name="_Toc8025"/>
      <w:bookmarkStart w:id="366" w:name="_Toc32365"/>
      <w:bookmarkStart w:id="367" w:name="_Toc31018"/>
      <w:bookmarkStart w:id="368" w:name="_Toc22212"/>
      <w:bookmarkStart w:id="369" w:name="_Toc7628"/>
      <w:bookmarkStart w:id="370" w:name="_Toc19554"/>
      <w:bookmarkStart w:id="371" w:name="_Toc23714"/>
      <w:bookmarkStart w:id="372" w:name="_Toc7423"/>
      <w:r>
        <w:rPr>
          <w:rFonts w:hint="eastAsia"/>
        </w:rPr>
        <w:t>投标文件的修改和撤回</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34A6756">
      <w:pPr>
        <w:numPr>
          <w:ilvl w:val="2"/>
          <w:numId w:val="3"/>
        </w:numPr>
        <w:spacing w:line="360" w:lineRule="auto"/>
        <w:ind w:left="0" w:firstLine="420" w:firstLineChars="200"/>
        <w:rPr>
          <w:rFonts w:hint="eastAsia"/>
          <w:szCs w:val="21"/>
        </w:rPr>
      </w:pPr>
      <w:bookmarkStart w:id="373" w:name="OLE_LINK41"/>
      <w:bookmarkStart w:id="374" w:name="OLE_LINK22"/>
      <w:r>
        <w:rPr>
          <w:rFonts w:hint="eastAsia"/>
          <w:szCs w:val="21"/>
        </w:rPr>
        <w:t>在投标截止时间之后，投标人不得对其投标文件做任何修改。</w:t>
      </w:r>
      <w:bookmarkEnd w:id="373"/>
    </w:p>
    <w:p w14:paraId="086B545E">
      <w:pPr>
        <w:numPr>
          <w:ilvl w:val="2"/>
          <w:numId w:val="3"/>
        </w:numPr>
        <w:spacing w:line="360" w:lineRule="auto"/>
        <w:ind w:left="0" w:firstLine="420" w:firstLineChars="200"/>
        <w:rPr>
          <w:rFonts w:hint="eastAsia"/>
          <w:szCs w:val="21"/>
        </w:rPr>
      </w:pPr>
      <w:bookmarkStart w:id="375" w:name="OLE_LINK42"/>
      <w:r>
        <w:rPr>
          <w:rFonts w:hint="eastAsia"/>
          <w:szCs w:val="21"/>
        </w:rPr>
        <w:t>从投标截止时间至投标人在投标文件中载明的投标有效期满期间，投标人不得撤回其投标文件</w:t>
      </w:r>
      <w:bookmarkEnd w:id="374"/>
      <w:r>
        <w:rPr>
          <w:rFonts w:hint="eastAsia"/>
          <w:szCs w:val="21"/>
        </w:rPr>
        <w:t>。</w:t>
      </w:r>
      <w:bookmarkEnd w:id="375"/>
    </w:p>
    <w:p w14:paraId="18905306">
      <w:pPr>
        <w:pStyle w:val="3"/>
        <w:numPr>
          <w:ilvl w:val="0"/>
          <w:numId w:val="3"/>
        </w:numPr>
        <w:tabs>
          <w:tab w:val="left" w:pos="721"/>
          <w:tab w:val="left" w:pos="840"/>
          <w:tab w:val="left" w:pos="2880"/>
          <w:tab w:val="left" w:pos="3780"/>
        </w:tabs>
        <w:jc w:val="both"/>
        <w:rPr>
          <w:rFonts w:hint="eastAsia" w:ascii="宋体" w:hAnsi="宋体"/>
          <w:szCs w:val="24"/>
        </w:rPr>
      </w:pPr>
      <w:bookmarkStart w:id="376" w:name="_Toc6050"/>
      <w:bookmarkStart w:id="377" w:name="_Toc8143"/>
      <w:bookmarkStart w:id="378" w:name="_Toc11311"/>
      <w:r>
        <w:rPr>
          <w:rFonts w:hint="eastAsia" w:ascii="宋体" w:hAnsi="宋体"/>
          <w:szCs w:val="24"/>
        </w:rPr>
        <w:t>开标、资格审查与评标</w:t>
      </w:r>
      <w:bookmarkEnd w:id="344"/>
      <w:bookmarkEnd w:id="376"/>
      <w:bookmarkEnd w:id="377"/>
      <w:bookmarkEnd w:id="378"/>
    </w:p>
    <w:p w14:paraId="73CDBB7C">
      <w:pPr>
        <w:pStyle w:val="4"/>
        <w:numPr>
          <w:ilvl w:val="1"/>
          <w:numId w:val="3"/>
        </w:numPr>
        <w:rPr>
          <w:rFonts w:hint="eastAsia"/>
        </w:rPr>
      </w:pPr>
      <w:bookmarkStart w:id="379" w:name="_Toc1051"/>
      <w:bookmarkStart w:id="380" w:name="_Toc2359"/>
      <w:bookmarkStart w:id="381" w:name="_Toc3802"/>
      <w:bookmarkStart w:id="382" w:name="_Toc25258"/>
      <w:bookmarkStart w:id="383" w:name="_Toc10372"/>
      <w:bookmarkStart w:id="384" w:name="_Toc30917"/>
      <w:bookmarkStart w:id="385" w:name="_Toc10066"/>
      <w:bookmarkStart w:id="386" w:name="_Toc22058"/>
      <w:bookmarkStart w:id="387" w:name="_Toc18834"/>
      <w:bookmarkStart w:id="388" w:name="_Toc3484"/>
      <w:bookmarkStart w:id="389" w:name="_Toc28821"/>
      <w:bookmarkStart w:id="390" w:name="_Toc24837"/>
      <w:bookmarkStart w:id="391" w:name="_Toc21689"/>
      <w:bookmarkStart w:id="392" w:name="_Toc312133548"/>
      <w:r>
        <w:rPr>
          <w:rFonts w:hint="eastAsia"/>
        </w:rPr>
        <w:t>开标</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369E67A1">
      <w:pPr>
        <w:numPr>
          <w:ilvl w:val="2"/>
          <w:numId w:val="3"/>
        </w:numPr>
        <w:spacing w:line="360" w:lineRule="auto"/>
        <w:ind w:left="0" w:firstLine="420" w:firstLineChars="200"/>
        <w:rPr>
          <w:rFonts w:hint="eastAsia"/>
          <w:szCs w:val="21"/>
        </w:rPr>
      </w:pPr>
      <w:bookmarkStart w:id="393" w:name="OLE_LINK21"/>
      <w:r>
        <w:rPr>
          <w:rFonts w:hint="eastAsia"/>
          <w:szCs w:val="21"/>
        </w:rPr>
        <w:t>采购人在投标人须知前附表规定的地点开标。本项目采用“远程不见面”开标方式，投标人无需到河南省公共资源交易中心现场参加开标会议，无需到达现场提交原件资料。投标人应当在投标截止时间前，登录远程开标大厅，在线准时参加开标活动并进行文件解密、答疑澄清等</w:t>
      </w:r>
      <w:r>
        <w:rPr>
          <w:rFonts w:hint="eastAsia"/>
          <w:b/>
          <w:bCs/>
          <w:szCs w:val="21"/>
        </w:rPr>
        <w:t>（请各位投标人注意，系统中给各位投标人的解密时间为：投标截止时间后30分钟内）</w:t>
      </w:r>
      <w:r>
        <w:rPr>
          <w:rFonts w:hint="eastAsia"/>
          <w:szCs w:val="21"/>
        </w:rPr>
        <w:t>。</w:t>
      </w:r>
    </w:p>
    <w:p w14:paraId="75FA4E65">
      <w:pPr>
        <w:numPr>
          <w:ilvl w:val="2"/>
          <w:numId w:val="3"/>
        </w:numPr>
        <w:spacing w:line="360" w:lineRule="auto"/>
        <w:ind w:left="0" w:firstLine="420" w:firstLineChars="200"/>
        <w:rPr>
          <w:rFonts w:hint="eastAsia"/>
          <w:szCs w:val="21"/>
        </w:rPr>
      </w:pPr>
      <w:r>
        <w:rPr>
          <w:rFonts w:hint="eastAsia"/>
          <w:szCs w:val="21"/>
        </w:rPr>
        <w:t>开标程序：</w:t>
      </w:r>
    </w:p>
    <w:p w14:paraId="1E9E80C3">
      <w:pPr>
        <w:spacing w:line="360" w:lineRule="auto"/>
        <w:ind w:firstLine="420" w:firstLineChars="200"/>
        <w:rPr>
          <w:rFonts w:hint="eastAsia"/>
          <w:szCs w:val="21"/>
        </w:rPr>
      </w:pPr>
      <w:r>
        <w:rPr>
          <w:rFonts w:hint="eastAsia"/>
          <w:szCs w:val="21"/>
        </w:rPr>
        <w:t xml:space="preserve">（1）公布在投标截止时间前递交投标文件的投标单位； </w:t>
      </w:r>
    </w:p>
    <w:p w14:paraId="41BE8D49">
      <w:pPr>
        <w:spacing w:line="360" w:lineRule="auto"/>
        <w:ind w:firstLine="420" w:firstLineChars="200"/>
        <w:rPr>
          <w:rFonts w:hint="eastAsia"/>
          <w:szCs w:val="21"/>
        </w:rPr>
      </w:pPr>
      <w:r>
        <w:rPr>
          <w:rFonts w:hint="eastAsia"/>
          <w:szCs w:val="21"/>
        </w:rPr>
        <w:t>（2）投标文件解密，本项目采用“远程不见面”开标方式，远程开标大厅网址为http://hnsggzyjy.henan.gov.cn//BidOpening/bidopeninghallaction/hall/login，投标人无需到河南省公共资源交易中心现场参加开标会议。投标人应当在投标截止时间前，登录远程开标大厅，在线准时参加开标活动并进行文件解密、答疑澄清等</w:t>
      </w:r>
      <w:r>
        <w:rPr>
          <w:rFonts w:hint="eastAsia"/>
          <w:b/>
          <w:bCs/>
          <w:szCs w:val="21"/>
        </w:rPr>
        <w:t>（请各位投标人注意，系统中给各位投标人的解密时间为：投标截止时间后30分钟内）</w:t>
      </w:r>
      <w:r>
        <w:rPr>
          <w:rFonts w:hint="eastAsia"/>
          <w:szCs w:val="21"/>
        </w:rPr>
        <w:t>。因加密电子投标文件未能成功上传或误传等自身原因而导致的解密失败,投标将被拒绝。</w:t>
      </w:r>
    </w:p>
    <w:p w14:paraId="463EF832">
      <w:pPr>
        <w:spacing w:line="360" w:lineRule="auto"/>
        <w:ind w:firstLine="420" w:firstLineChars="200"/>
        <w:rPr>
          <w:rFonts w:hint="eastAsia"/>
          <w:szCs w:val="21"/>
        </w:rPr>
      </w:pPr>
      <w:r>
        <w:rPr>
          <w:rFonts w:hint="eastAsia"/>
          <w:szCs w:val="21"/>
        </w:rPr>
        <w:t>（3）批量导入。</w:t>
      </w:r>
    </w:p>
    <w:p w14:paraId="78C4655C">
      <w:pPr>
        <w:spacing w:line="360" w:lineRule="auto"/>
        <w:ind w:firstLine="420" w:firstLineChars="200"/>
        <w:jc w:val="left"/>
        <w:rPr>
          <w:rFonts w:hint="eastAsia"/>
          <w:szCs w:val="21"/>
        </w:rPr>
      </w:pPr>
      <w:r>
        <w:rPr>
          <w:rFonts w:hint="eastAsia"/>
          <w:szCs w:val="21"/>
        </w:rPr>
        <w:t>（4）本项目采用电子开标，解密完成后各投标人的电子投标文件的实质性内容将自动显示在网页中。</w:t>
      </w:r>
    </w:p>
    <w:p w14:paraId="21717A67">
      <w:pPr>
        <w:autoSpaceDE w:val="0"/>
        <w:autoSpaceDN w:val="0"/>
        <w:adjustRightInd w:val="0"/>
        <w:spacing w:line="360" w:lineRule="auto"/>
        <w:ind w:left="420" w:leftChars="200" w:right="40"/>
        <w:jc w:val="left"/>
        <w:rPr>
          <w:rFonts w:hint="eastAsia"/>
          <w:kern w:val="0"/>
          <w:szCs w:val="21"/>
        </w:rPr>
      </w:pPr>
      <w:r>
        <w:rPr>
          <w:rFonts w:hint="eastAsia"/>
          <w:szCs w:val="21"/>
        </w:rPr>
        <w:t>（5）异议回复完成之后开标结束</w:t>
      </w:r>
      <w:bookmarkEnd w:id="393"/>
      <w:r>
        <w:rPr>
          <w:rFonts w:hint="eastAsia"/>
          <w:szCs w:val="21"/>
        </w:rPr>
        <w:t>。</w:t>
      </w:r>
    </w:p>
    <w:p w14:paraId="19717E30">
      <w:pPr>
        <w:pStyle w:val="4"/>
        <w:numPr>
          <w:ilvl w:val="1"/>
          <w:numId w:val="3"/>
        </w:numPr>
        <w:rPr>
          <w:rFonts w:hint="eastAsia"/>
        </w:rPr>
      </w:pPr>
      <w:bookmarkStart w:id="394" w:name="_Toc24277"/>
      <w:bookmarkStart w:id="395" w:name="_Toc11443"/>
      <w:bookmarkStart w:id="396" w:name="_Toc22131"/>
      <w:bookmarkStart w:id="397" w:name="_Toc29955"/>
      <w:bookmarkStart w:id="398" w:name="_Toc29588"/>
      <w:bookmarkStart w:id="399" w:name="_Toc16453"/>
      <w:bookmarkStart w:id="400" w:name="_Toc29315"/>
      <w:bookmarkStart w:id="401" w:name="_Toc13168"/>
      <w:bookmarkStart w:id="402" w:name="_Toc29637"/>
      <w:bookmarkStart w:id="403" w:name="_Toc3031"/>
      <w:bookmarkStart w:id="404" w:name="_Toc18862"/>
      <w:bookmarkStart w:id="405" w:name="_Toc11192"/>
      <w:bookmarkStart w:id="406" w:name="_Toc22209"/>
      <w:r>
        <w:rPr>
          <w:rFonts w:hint="eastAsia"/>
        </w:rPr>
        <w:t>资格审查工作</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3202B6D4">
      <w:pPr>
        <w:numPr>
          <w:ilvl w:val="2"/>
          <w:numId w:val="3"/>
        </w:numPr>
        <w:spacing w:line="360" w:lineRule="auto"/>
        <w:ind w:left="0" w:firstLine="420" w:firstLineChars="200"/>
        <w:rPr>
          <w:rFonts w:hint="eastAsia"/>
          <w:szCs w:val="21"/>
        </w:rPr>
      </w:pPr>
      <w:r>
        <w:rPr>
          <w:rFonts w:hint="eastAsia"/>
          <w:szCs w:val="21"/>
        </w:rPr>
        <w:t>开标结束后，采购人或者采购代理机构应当依法对投标人的资格进行审查。合格投标人不足3家的，不得评标。</w:t>
      </w:r>
    </w:p>
    <w:p w14:paraId="2D2CB01E">
      <w:pPr>
        <w:pStyle w:val="4"/>
        <w:numPr>
          <w:ilvl w:val="1"/>
          <w:numId w:val="3"/>
        </w:numPr>
        <w:rPr>
          <w:rFonts w:hint="eastAsia"/>
        </w:rPr>
      </w:pPr>
      <w:bookmarkStart w:id="407" w:name="_Toc12598"/>
      <w:bookmarkStart w:id="408" w:name="_Toc2042"/>
      <w:bookmarkStart w:id="409" w:name="_Toc31474"/>
      <w:bookmarkStart w:id="410" w:name="_Toc31129"/>
      <w:bookmarkStart w:id="411" w:name="_Toc8092"/>
      <w:bookmarkStart w:id="412" w:name="_Toc24379"/>
      <w:bookmarkStart w:id="413" w:name="_Toc22789"/>
      <w:bookmarkStart w:id="414" w:name="_Toc32305"/>
      <w:bookmarkStart w:id="415" w:name="_Toc16180"/>
      <w:bookmarkStart w:id="416" w:name="_Toc22105"/>
      <w:bookmarkStart w:id="417" w:name="_Toc4865"/>
      <w:bookmarkStart w:id="418" w:name="_Toc19513"/>
      <w:bookmarkStart w:id="419" w:name="_Toc26746"/>
      <w:r>
        <w:rPr>
          <w:rFonts w:hint="eastAsia"/>
        </w:rPr>
        <w:t>评标工作</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266D4538">
      <w:pPr>
        <w:numPr>
          <w:ilvl w:val="2"/>
          <w:numId w:val="3"/>
        </w:numPr>
        <w:spacing w:line="360" w:lineRule="auto"/>
        <w:ind w:left="0" w:firstLine="420" w:firstLineChars="200"/>
        <w:rPr>
          <w:rFonts w:hint="eastAsia"/>
          <w:szCs w:val="21"/>
        </w:rPr>
      </w:pPr>
      <w:r>
        <w:rPr>
          <w:rFonts w:hint="eastAsia"/>
          <w:szCs w:val="21"/>
        </w:rPr>
        <w:t>评标委员会</w:t>
      </w:r>
    </w:p>
    <w:p w14:paraId="49053269">
      <w:pPr>
        <w:numPr>
          <w:ilvl w:val="0"/>
          <w:numId w:val="12"/>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评标工作由采购人依法组建的评标委员会负责，对所有投标人的投标文件进行审评，并按评标办法规定的方式推荐出投标人须知前附表中载明数量的中标候选人。</w:t>
      </w:r>
    </w:p>
    <w:p w14:paraId="676BC168">
      <w:pPr>
        <w:numPr>
          <w:ilvl w:val="0"/>
          <w:numId w:val="12"/>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评标委员会由采购人代表和评审专家组成，评审专家不得少于成员总数的三分之二。对采购预算金额在1000万元以上或技术复杂或社会影响较大的采购项目，评标委员会成员人数应当为7人以上单数。</w:t>
      </w:r>
    </w:p>
    <w:p w14:paraId="2BE795C3">
      <w:pPr>
        <w:numPr>
          <w:ilvl w:val="0"/>
          <w:numId w:val="12"/>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评审专家对本单位的采购项目只能作为采购人代表参与评标，对技术复杂、专业性强的采购项目，通过随机方式难以确定合适评审专家的情形除外。</w:t>
      </w:r>
    </w:p>
    <w:p w14:paraId="6E6931A7">
      <w:pPr>
        <w:numPr>
          <w:ilvl w:val="0"/>
          <w:numId w:val="12"/>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采购代理机构工作人员不得参加由本机构代理的政府采购项目的评标。</w:t>
      </w:r>
    </w:p>
    <w:p w14:paraId="54A2CF60">
      <w:pPr>
        <w:numPr>
          <w:ilvl w:val="0"/>
          <w:numId w:val="12"/>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评标委员会成员名单在评标结果公告前应当保密。</w:t>
      </w:r>
    </w:p>
    <w:p w14:paraId="04FA6B86">
      <w:pPr>
        <w:numPr>
          <w:ilvl w:val="2"/>
          <w:numId w:val="3"/>
        </w:numPr>
        <w:spacing w:line="360" w:lineRule="auto"/>
        <w:ind w:left="0" w:firstLine="420" w:firstLineChars="200"/>
        <w:rPr>
          <w:rFonts w:hint="eastAsia"/>
          <w:szCs w:val="21"/>
        </w:rPr>
      </w:pPr>
      <w:r>
        <w:rPr>
          <w:rFonts w:hint="eastAsia"/>
          <w:szCs w:val="21"/>
        </w:rPr>
        <w:t>评标委员会及其成员不得有下列行为：</w:t>
      </w:r>
    </w:p>
    <w:p w14:paraId="15FB9866">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确定参与评标至评标结束前私自接触投标人；</w:t>
      </w:r>
    </w:p>
    <w:p w14:paraId="701234AD">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057BD6D3">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违反评标纪律发表倾向性意见或者征询采购人的倾向性意见；</w:t>
      </w:r>
    </w:p>
    <w:p w14:paraId="7AED076F">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对需要专业判断的主观评审因素协商评分；</w:t>
      </w:r>
    </w:p>
    <w:p w14:paraId="724322A9">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在评标过程中擅离职守，影响评标程序正常进行的；</w:t>
      </w:r>
    </w:p>
    <w:p w14:paraId="1495989F">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记录、复制或者带走任何评标资料；</w:t>
      </w:r>
    </w:p>
    <w:p w14:paraId="4A0CBC8A">
      <w:pPr>
        <w:numPr>
          <w:ilvl w:val="0"/>
          <w:numId w:val="13"/>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其他不遵守评标纪律的行为。</w:t>
      </w:r>
    </w:p>
    <w:p w14:paraId="65A9DD7C">
      <w:pPr>
        <w:tabs>
          <w:tab w:val="left" w:pos="720"/>
        </w:tabs>
        <w:spacing w:line="360" w:lineRule="auto"/>
        <w:ind w:firstLine="420" w:firstLineChars="200"/>
        <w:rPr>
          <w:rFonts w:hint="eastAsia"/>
          <w:szCs w:val="21"/>
        </w:rPr>
      </w:pPr>
      <w:r>
        <w:rPr>
          <w:rFonts w:hint="eastAsia"/>
          <w:szCs w:val="21"/>
        </w:rPr>
        <w:t>评标委员会成员有本章第5.3.2项第（1）至（5）目行为之一的，其评审意见无效，并不得获取评审劳务报酬和报销异地评审差旅费。</w:t>
      </w:r>
    </w:p>
    <w:p w14:paraId="40A2D8B4">
      <w:pPr>
        <w:numPr>
          <w:ilvl w:val="2"/>
          <w:numId w:val="3"/>
        </w:numPr>
        <w:spacing w:line="360" w:lineRule="auto"/>
        <w:ind w:left="0" w:firstLine="420" w:firstLineChars="200"/>
        <w:rPr>
          <w:rFonts w:hint="eastAsia"/>
          <w:szCs w:val="21"/>
        </w:rPr>
      </w:pPr>
      <w:r>
        <w:rPr>
          <w:rFonts w:hint="eastAsia"/>
          <w:szCs w:val="21"/>
        </w:rPr>
        <w:t>评标委员会成员对需要共同认定的事项存在争议的，应当按照少数服从多数的原则作出结论。持不同意见的评标委员会成员应当在评标报告上签署不同意见及理由，否则视为同意评标报告。</w:t>
      </w:r>
    </w:p>
    <w:p w14:paraId="4260587E">
      <w:pPr>
        <w:numPr>
          <w:ilvl w:val="2"/>
          <w:numId w:val="3"/>
        </w:numPr>
        <w:spacing w:line="360" w:lineRule="auto"/>
        <w:ind w:left="0" w:firstLine="420" w:firstLineChars="200"/>
        <w:rPr>
          <w:rFonts w:hint="eastAsia"/>
          <w:szCs w:val="21"/>
        </w:rPr>
      </w:pPr>
      <w:r>
        <w:rPr>
          <w:rFonts w:hint="eastAsia"/>
          <w:szCs w:val="21"/>
        </w:rPr>
        <w:t>评标</w:t>
      </w:r>
    </w:p>
    <w:p w14:paraId="052FB138">
      <w:pPr>
        <w:numPr>
          <w:ilvl w:val="0"/>
          <w:numId w:val="14"/>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评标委员会按照“评标办法”规定的方法、评审因素、标准和程序对投标文件进行评审。“评标办法”没有规定的方法、评审因素和标准，不作为评标依据。</w:t>
      </w:r>
    </w:p>
    <w:p w14:paraId="11AE63D9">
      <w:pPr>
        <w:numPr>
          <w:ilvl w:val="0"/>
          <w:numId w:val="14"/>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评标完成后，评标委员会应当向采购人提交书面评标报告和中标候选人名单。评标委员会推荐中标候选人的人数见投标人须知前附表。</w:t>
      </w:r>
    </w:p>
    <w:p w14:paraId="6A393FA4">
      <w:pPr>
        <w:pStyle w:val="4"/>
        <w:numPr>
          <w:ilvl w:val="1"/>
          <w:numId w:val="3"/>
        </w:numPr>
        <w:rPr>
          <w:rFonts w:hint="eastAsia"/>
        </w:rPr>
      </w:pPr>
      <w:bookmarkStart w:id="420" w:name="_Toc5830"/>
      <w:bookmarkStart w:id="421" w:name="_Toc25530"/>
      <w:bookmarkStart w:id="422" w:name="_Toc22420"/>
      <w:bookmarkStart w:id="423" w:name="_Toc25755"/>
      <w:bookmarkStart w:id="424" w:name="_Toc8996"/>
      <w:bookmarkStart w:id="425" w:name="_Toc608"/>
      <w:bookmarkStart w:id="426" w:name="_Toc19479"/>
      <w:bookmarkStart w:id="427" w:name="_Toc25509"/>
      <w:bookmarkStart w:id="428" w:name="_Toc12609"/>
      <w:bookmarkStart w:id="429" w:name="_Toc12131"/>
      <w:bookmarkStart w:id="430" w:name="_Toc7396"/>
      <w:bookmarkStart w:id="431" w:name="_Toc5485"/>
      <w:bookmarkStart w:id="432" w:name="_Toc10927"/>
      <w:r>
        <w:rPr>
          <w:rFonts w:hint="eastAsia"/>
        </w:rPr>
        <w:t>保密及其他注意事项</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314B5F2E">
      <w:pPr>
        <w:numPr>
          <w:ilvl w:val="2"/>
          <w:numId w:val="3"/>
        </w:numPr>
        <w:spacing w:line="360" w:lineRule="auto"/>
        <w:ind w:left="0" w:firstLine="420" w:firstLineChars="200"/>
        <w:rPr>
          <w:rFonts w:hint="eastAsia"/>
          <w:szCs w:val="21"/>
        </w:rPr>
      </w:pPr>
      <w:r>
        <w:rPr>
          <w:rFonts w:hint="eastAsia"/>
          <w:szCs w:val="21"/>
        </w:rPr>
        <w:t>评标是招标工作的重要环节，评标工作在评标委员会内独立进行。</w:t>
      </w:r>
    </w:p>
    <w:p w14:paraId="338F3111">
      <w:pPr>
        <w:numPr>
          <w:ilvl w:val="2"/>
          <w:numId w:val="3"/>
        </w:numPr>
        <w:spacing w:line="360" w:lineRule="auto"/>
        <w:ind w:left="0" w:firstLine="420" w:firstLineChars="200"/>
        <w:rPr>
          <w:rFonts w:hint="eastAsia"/>
          <w:szCs w:val="21"/>
        </w:rPr>
      </w:pPr>
      <w:r>
        <w:rPr>
          <w:rFonts w:hint="eastAsia"/>
          <w:szCs w:val="21"/>
        </w:rPr>
        <w:t>评标委员会将遵照规定的评标方法，公正、平等地对待所有投标人。</w:t>
      </w:r>
    </w:p>
    <w:p w14:paraId="175A2C59">
      <w:pPr>
        <w:numPr>
          <w:ilvl w:val="2"/>
          <w:numId w:val="3"/>
        </w:numPr>
        <w:spacing w:line="360" w:lineRule="auto"/>
        <w:ind w:left="0" w:firstLine="420" w:firstLineChars="200"/>
        <w:rPr>
          <w:rFonts w:hint="eastAsia"/>
          <w:szCs w:val="21"/>
        </w:rPr>
      </w:pPr>
      <w:r>
        <w:rPr>
          <w:rFonts w:hint="eastAsia"/>
          <w:szCs w:val="21"/>
        </w:rPr>
        <w:t>在开标、评标期间，投标人不得向评委询问评标情况，不得进行旨在影响评标结果的活动。否则其投标可能被拒绝。</w:t>
      </w:r>
    </w:p>
    <w:p w14:paraId="79641DA2">
      <w:pPr>
        <w:numPr>
          <w:ilvl w:val="2"/>
          <w:numId w:val="3"/>
        </w:numPr>
        <w:spacing w:line="360" w:lineRule="auto"/>
        <w:ind w:left="0" w:firstLine="420" w:firstLineChars="200"/>
        <w:rPr>
          <w:rFonts w:hint="eastAsia"/>
          <w:szCs w:val="21"/>
        </w:rPr>
      </w:pPr>
      <w:r>
        <w:rPr>
          <w:rFonts w:hint="eastAsia"/>
          <w:szCs w:val="21"/>
        </w:rPr>
        <w:t>为保证评标的公正性，开标后直至授予投标人合同，评委不得与投标人私下交换意见。</w:t>
      </w:r>
    </w:p>
    <w:p w14:paraId="10D1BEC0">
      <w:pPr>
        <w:numPr>
          <w:ilvl w:val="2"/>
          <w:numId w:val="3"/>
        </w:numPr>
        <w:spacing w:line="360" w:lineRule="auto"/>
        <w:ind w:left="0" w:firstLine="420" w:firstLineChars="200"/>
        <w:rPr>
          <w:rFonts w:hint="eastAsia"/>
          <w:szCs w:val="21"/>
        </w:rPr>
      </w:pPr>
      <w:r>
        <w:rPr>
          <w:rFonts w:hint="eastAsia"/>
          <w:szCs w:val="21"/>
        </w:rPr>
        <w:t>在评标工作结束后，凡与评标情况有接触的任何人不得擅自将评标情况扩散出评标人员之外。</w:t>
      </w:r>
    </w:p>
    <w:p w14:paraId="598F78A1">
      <w:pPr>
        <w:numPr>
          <w:ilvl w:val="2"/>
          <w:numId w:val="3"/>
        </w:numPr>
        <w:spacing w:line="360" w:lineRule="auto"/>
        <w:ind w:left="0" w:firstLine="420" w:firstLineChars="200"/>
        <w:rPr>
          <w:rFonts w:hint="eastAsia"/>
          <w:szCs w:val="21"/>
        </w:rPr>
      </w:pPr>
      <w:r>
        <w:rPr>
          <w:rFonts w:hint="eastAsia"/>
          <w:szCs w:val="21"/>
        </w:rPr>
        <w:t>评标结束后，投标文件概不退还。</w:t>
      </w:r>
    </w:p>
    <w:p w14:paraId="7013B11F">
      <w:pPr>
        <w:pStyle w:val="3"/>
        <w:numPr>
          <w:ilvl w:val="0"/>
          <w:numId w:val="3"/>
        </w:numPr>
        <w:tabs>
          <w:tab w:val="left" w:pos="721"/>
          <w:tab w:val="left" w:pos="840"/>
          <w:tab w:val="left" w:pos="2880"/>
          <w:tab w:val="left" w:pos="3780"/>
        </w:tabs>
        <w:jc w:val="both"/>
        <w:rPr>
          <w:rFonts w:hint="eastAsia" w:ascii="宋体" w:hAnsi="宋体"/>
          <w:szCs w:val="24"/>
        </w:rPr>
      </w:pPr>
      <w:bookmarkStart w:id="433" w:name="_Toc12819"/>
      <w:bookmarkStart w:id="434" w:name="_Toc21908"/>
      <w:bookmarkStart w:id="435" w:name="_Toc28963"/>
      <w:r>
        <w:rPr>
          <w:rFonts w:hint="eastAsia" w:ascii="宋体" w:hAnsi="宋体"/>
          <w:szCs w:val="24"/>
        </w:rPr>
        <w:t>授予合同</w:t>
      </w:r>
      <w:bookmarkEnd w:id="392"/>
      <w:bookmarkEnd w:id="433"/>
      <w:bookmarkEnd w:id="434"/>
      <w:bookmarkEnd w:id="435"/>
    </w:p>
    <w:p w14:paraId="3E7EDD09">
      <w:pPr>
        <w:pStyle w:val="4"/>
        <w:numPr>
          <w:ilvl w:val="1"/>
          <w:numId w:val="3"/>
        </w:numPr>
        <w:rPr>
          <w:rFonts w:hint="eastAsia"/>
        </w:rPr>
      </w:pPr>
      <w:bookmarkStart w:id="436" w:name="_Toc22971"/>
      <w:bookmarkStart w:id="437" w:name="_Toc6320"/>
      <w:bookmarkStart w:id="438" w:name="_Toc27126"/>
      <w:bookmarkStart w:id="439" w:name="_Toc13599"/>
      <w:bookmarkStart w:id="440" w:name="_Toc3574"/>
      <w:bookmarkStart w:id="441" w:name="_Toc15637"/>
      <w:bookmarkStart w:id="442" w:name="_Toc9349"/>
      <w:bookmarkStart w:id="443" w:name="_Toc21756"/>
      <w:bookmarkStart w:id="444" w:name="_Toc16230"/>
      <w:bookmarkStart w:id="445" w:name="_Toc7404"/>
      <w:bookmarkStart w:id="446" w:name="_Toc32241"/>
      <w:bookmarkStart w:id="447" w:name="_Toc22245"/>
      <w:bookmarkStart w:id="448" w:name="_Toc7898"/>
      <w:bookmarkStart w:id="449" w:name="_Toc22088"/>
      <w:bookmarkStart w:id="450" w:name="_Toc17818"/>
      <w:bookmarkStart w:id="451" w:name="_Toc26604"/>
      <w:bookmarkStart w:id="452" w:name="_Toc22457"/>
      <w:bookmarkStart w:id="453" w:name="_Toc30644"/>
      <w:bookmarkStart w:id="454" w:name="_Toc23900"/>
      <w:r>
        <w:rPr>
          <w:rFonts w:hint="eastAsia"/>
        </w:rPr>
        <w:t>中标公告</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23F275F7">
      <w:pPr>
        <w:numPr>
          <w:ilvl w:val="2"/>
          <w:numId w:val="3"/>
        </w:numPr>
        <w:spacing w:line="360" w:lineRule="auto"/>
        <w:ind w:left="0" w:firstLine="420" w:firstLineChars="200"/>
        <w:rPr>
          <w:rFonts w:hint="eastAsia"/>
          <w:szCs w:val="21"/>
        </w:rPr>
      </w:pPr>
      <w:r>
        <w:rPr>
          <w:rFonts w:hint="eastAsia"/>
          <w:szCs w:val="21"/>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27A45A73">
      <w:pPr>
        <w:numPr>
          <w:ilvl w:val="2"/>
          <w:numId w:val="3"/>
        </w:numPr>
        <w:spacing w:line="360" w:lineRule="auto"/>
        <w:ind w:left="0" w:firstLine="420" w:firstLineChars="200"/>
        <w:rPr>
          <w:rFonts w:hint="eastAsia"/>
          <w:szCs w:val="21"/>
        </w:rPr>
      </w:pPr>
      <w:r>
        <w:rPr>
          <w:rFonts w:hint="eastAsia"/>
          <w:szCs w:val="21"/>
        </w:rPr>
        <w:t>采购代理机构应当自中标人确定之日起2个工作日内，在省级以上财政部门指定的媒体上公告中标结果，招标文件应当随中标结果同时公告。公告期限为1个工作日。</w:t>
      </w:r>
    </w:p>
    <w:p w14:paraId="672EBFD2">
      <w:pPr>
        <w:numPr>
          <w:ilvl w:val="2"/>
          <w:numId w:val="3"/>
        </w:numPr>
        <w:spacing w:line="360" w:lineRule="auto"/>
        <w:ind w:left="0" w:firstLine="420" w:firstLineChars="200"/>
        <w:rPr>
          <w:rFonts w:hint="eastAsia"/>
          <w:szCs w:val="21"/>
        </w:rPr>
      </w:pPr>
      <w:r>
        <w:rPr>
          <w:rFonts w:hint="eastAsia"/>
          <w:szCs w:val="21"/>
        </w:rPr>
        <w:t>中标通知书发出后，采购人不得违法改变中标结果，中标人无正当理由不得放弃中标。</w:t>
      </w:r>
    </w:p>
    <w:p w14:paraId="0781D786">
      <w:pPr>
        <w:numPr>
          <w:ilvl w:val="2"/>
          <w:numId w:val="3"/>
        </w:numPr>
        <w:spacing w:line="360" w:lineRule="auto"/>
        <w:ind w:left="0" w:firstLine="420" w:firstLineChars="200"/>
        <w:rPr>
          <w:rFonts w:hint="eastAsia"/>
          <w:szCs w:val="21"/>
        </w:rPr>
      </w:pPr>
      <w:r>
        <w:rPr>
          <w:rFonts w:hint="eastAsia"/>
          <w:szCs w:val="21"/>
        </w:rPr>
        <w:t>中标人为残疾人福利性单位的，采购代理机构将随中标结果同时公告其《残疾人福利性单位声明函》，接受社会监督。中标人享受《政府采购促进中小企业发展管理办法》规定的中小企业扶持政策的，采购人、采购代理机构应当随中标结果公开中标人的《中小企业声明函》。</w:t>
      </w:r>
    </w:p>
    <w:p w14:paraId="1B35E94D">
      <w:pPr>
        <w:numPr>
          <w:ilvl w:val="2"/>
          <w:numId w:val="3"/>
        </w:numPr>
        <w:spacing w:line="360" w:lineRule="auto"/>
        <w:ind w:left="0" w:firstLine="420" w:firstLineChars="200"/>
        <w:rPr>
          <w:rFonts w:hint="eastAsia"/>
          <w:szCs w:val="21"/>
        </w:rPr>
      </w:pPr>
      <w:r>
        <w:rPr>
          <w:rFonts w:hint="eastAsia"/>
          <w:szCs w:val="21"/>
        </w:rPr>
        <w:t>各有关当事人对中标结果有异议的，可以在中标结果公告期限届满之日起七个工作日内，按《政府采购质疑和投诉办法》（中华人民共和国财政部令第94号）要求以书面形式同时向采购人和采购代理机构提出质疑，逾期提交或未按照要求提交的质疑函将不予受理。</w:t>
      </w:r>
    </w:p>
    <w:bookmarkEnd w:id="449"/>
    <w:bookmarkEnd w:id="450"/>
    <w:bookmarkEnd w:id="451"/>
    <w:bookmarkEnd w:id="452"/>
    <w:bookmarkEnd w:id="453"/>
    <w:bookmarkEnd w:id="454"/>
    <w:p w14:paraId="7E43FC98">
      <w:pPr>
        <w:pStyle w:val="4"/>
        <w:numPr>
          <w:ilvl w:val="1"/>
          <w:numId w:val="3"/>
        </w:numPr>
        <w:rPr>
          <w:rFonts w:hint="eastAsia"/>
        </w:rPr>
      </w:pPr>
      <w:bookmarkStart w:id="455" w:name="_Toc30096"/>
      <w:bookmarkStart w:id="456" w:name="_Toc10365"/>
      <w:bookmarkStart w:id="457" w:name="_Toc7497"/>
      <w:r>
        <w:rPr>
          <w:rFonts w:hint="eastAsia"/>
        </w:rPr>
        <w:t>采购任务取消</w:t>
      </w:r>
      <w:bookmarkEnd w:id="455"/>
      <w:bookmarkEnd w:id="456"/>
      <w:bookmarkEnd w:id="457"/>
    </w:p>
    <w:p w14:paraId="113E5A51">
      <w:pPr>
        <w:spacing w:line="360" w:lineRule="auto"/>
        <w:ind w:firstLine="420" w:firstLineChars="200"/>
        <w:rPr>
          <w:rFonts w:hint="eastAsia"/>
          <w:szCs w:val="21"/>
        </w:rPr>
      </w:pPr>
      <w:r>
        <w:rPr>
          <w:rFonts w:hint="eastAsia"/>
          <w:szCs w:val="21"/>
        </w:rPr>
        <w:t>因重大变故采购任务取消时，采购人有权拒绝任何投标人中标，且对受影响的投标人不承担任何责任。</w:t>
      </w:r>
    </w:p>
    <w:p w14:paraId="201B9C16">
      <w:pPr>
        <w:pStyle w:val="4"/>
        <w:numPr>
          <w:ilvl w:val="1"/>
          <w:numId w:val="3"/>
        </w:numPr>
        <w:rPr>
          <w:rFonts w:hint="eastAsia"/>
        </w:rPr>
      </w:pPr>
      <w:bookmarkStart w:id="458" w:name="_Toc19825"/>
      <w:bookmarkStart w:id="459" w:name="_Toc12174"/>
      <w:bookmarkStart w:id="460" w:name="_Toc14610"/>
      <w:bookmarkStart w:id="461" w:name="_Toc23214"/>
      <w:bookmarkStart w:id="462" w:name="_Toc3846"/>
      <w:bookmarkStart w:id="463" w:name="_Toc29785"/>
      <w:bookmarkStart w:id="464" w:name="_Toc5799"/>
      <w:bookmarkStart w:id="465" w:name="_Toc21282"/>
      <w:bookmarkStart w:id="466" w:name="_Toc28970"/>
      <w:bookmarkStart w:id="467" w:name="_Toc24223"/>
      <w:bookmarkStart w:id="468" w:name="_Toc12305"/>
      <w:bookmarkStart w:id="469" w:name="_Toc25326"/>
      <w:bookmarkStart w:id="470" w:name="_Toc1468"/>
      <w:r>
        <w:rPr>
          <w:rFonts w:hint="eastAsia"/>
        </w:rPr>
        <w:t>中标通知书</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5E3FB67B">
      <w:pPr>
        <w:spacing w:line="360" w:lineRule="auto"/>
        <w:ind w:firstLine="420" w:firstLineChars="200"/>
        <w:rPr>
          <w:rFonts w:hint="eastAsia"/>
          <w:szCs w:val="21"/>
        </w:rPr>
      </w:pPr>
      <w:r>
        <w:rPr>
          <w:rFonts w:hint="eastAsia"/>
          <w:szCs w:val="21"/>
        </w:rPr>
        <w:t>在公告中标结果的同时，采购人或者采购代理机构应当向中标人发出中标通知书，中标通知书将作为进行合同谈判和签订合同的依据。</w:t>
      </w:r>
    </w:p>
    <w:p w14:paraId="4D487941">
      <w:pPr>
        <w:pStyle w:val="4"/>
        <w:numPr>
          <w:ilvl w:val="1"/>
          <w:numId w:val="3"/>
        </w:numPr>
        <w:rPr>
          <w:rFonts w:hint="eastAsia"/>
        </w:rPr>
      </w:pPr>
      <w:bookmarkStart w:id="471" w:name="_Toc14397"/>
      <w:bookmarkStart w:id="472" w:name="_Toc25990"/>
      <w:bookmarkStart w:id="473" w:name="_Toc20517"/>
      <w:bookmarkStart w:id="474" w:name="_Toc9428"/>
      <w:bookmarkStart w:id="475" w:name="_Toc15209"/>
      <w:bookmarkStart w:id="476" w:name="_Toc9865"/>
      <w:bookmarkStart w:id="477" w:name="_Toc25686"/>
      <w:bookmarkStart w:id="478" w:name="_Toc3979"/>
      <w:bookmarkStart w:id="479" w:name="_Toc11448"/>
      <w:bookmarkStart w:id="480" w:name="_Toc31317"/>
      <w:bookmarkStart w:id="481" w:name="_Toc21924"/>
      <w:bookmarkStart w:id="482" w:name="_Toc19608"/>
      <w:bookmarkStart w:id="483" w:name="_Toc26111"/>
      <w:bookmarkStart w:id="484" w:name="_Toc11221"/>
      <w:bookmarkStart w:id="485" w:name="_Toc3376"/>
      <w:bookmarkStart w:id="486" w:name="_Toc1226"/>
      <w:bookmarkStart w:id="487" w:name="_Toc15061"/>
      <w:bookmarkStart w:id="488" w:name="_Toc26471"/>
      <w:bookmarkStart w:id="489" w:name="_Toc12530"/>
      <w:r>
        <w:rPr>
          <w:rFonts w:hint="eastAsia"/>
        </w:rPr>
        <w:t>履约保证金</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70609404">
      <w:pPr>
        <w:numPr>
          <w:ilvl w:val="2"/>
          <w:numId w:val="3"/>
        </w:numPr>
        <w:spacing w:line="360" w:lineRule="auto"/>
        <w:ind w:left="0" w:firstLine="420" w:firstLineChars="200"/>
        <w:rPr>
          <w:rFonts w:hint="eastAsia"/>
          <w:szCs w:val="21"/>
        </w:rPr>
      </w:pPr>
      <w:bookmarkStart w:id="490" w:name="_Toc13295"/>
      <w:bookmarkStart w:id="491" w:name="_Toc22384"/>
      <w:bookmarkStart w:id="492" w:name="_Toc1508"/>
      <w:bookmarkStart w:id="493" w:name="_Toc24299"/>
      <w:r>
        <w:rPr>
          <w:rFonts w:hint="eastAsia"/>
          <w:szCs w:val="21"/>
        </w:rPr>
        <w:t>中标人应按投标人须知前附表规定的形式、金额和招标文件“合同”规定的履约保证金格式向招标人提交履约保证金。联合体中标的，其履约保证金以联合体各方或者联合体中牵头人的名义提交。</w:t>
      </w:r>
    </w:p>
    <w:p w14:paraId="441B62C0">
      <w:pPr>
        <w:numPr>
          <w:ilvl w:val="2"/>
          <w:numId w:val="3"/>
        </w:numPr>
        <w:spacing w:line="360" w:lineRule="auto"/>
        <w:ind w:left="0" w:firstLine="420" w:firstLineChars="200"/>
        <w:rPr>
          <w:rFonts w:hint="eastAsia"/>
          <w:szCs w:val="21"/>
        </w:rPr>
      </w:pPr>
      <w:r>
        <w:rPr>
          <w:rFonts w:hint="eastAsia"/>
          <w:szCs w:val="21"/>
        </w:rPr>
        <w:t>中标人不能按本章第6.4.1项要求提交履约保证金的，视为放弃中标，其投标保证金不予退还，给招标人造成的损失超过投标保证金数额的，中标人还应当对超过部分予以赔偿。</w:t>
      </w:r>
      <w:bookmarkStart w:id="494" w:name="_Toc20184"/>
    </w:p>
    <w:p w14:paraId="69A83EFB">
      <w:pPr>
        <w:pStyle w:val="4"/>
        <w:numPr>
          <w:ilvl w:val="1"/>
          <w:numId w:val="3"/>
        </w:numPr>
        <w:rPr>
          <w:rFonts w:hint="eastAsia"/>
        </w:rPr>
      </w:pPr>
      <w:bookmarkStart w:id="495" w:name="_Toc2117"/>
      <w:bookmarkStart w:id="496" w:name="_Toc16475"/>
      <w:r>
        <w:rPr>
          <w:rFonts w:hint="eastAsia"/>
        </w:rPr>
        <w:t>签订合同</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76851E36">
      <w:pPr>
        <w:numPr>
          <w:ilvl w:val="2"/>
          <w:numId w:val="3"/>
        </w:numPr>
        <w:spacing w:line="360" w:lineRule="auto"/>
        <w:ind w:left="0" w:firstLine="420" w:firstLineChars="200"/>
        <w:rPr>
          <w:rFonts w:hint="eastAsia"/>
          <w:szCs w:val="21"/>
        </w:rPr>
      </w:pPr>
      <w:r>
        <w:rPr>
          <w:rFonts w:hint="eastAsia"/>
          <w:szCs w:val="21"/>
        </w:rPr>
        <w:t>采购人应当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6BE5078F">
      <w:pPr>
        <w:numPr>
          <w:ilvl w:val="2"/>
          <w:numId w:val="3"/>
        </w:numPr>
        <w:spacing w:line="360" w:lineRule="auto"/>
        <w:ind w:left="0" w:firstLine="420" w:firstLineChars="200"/>
        <w:rPr>
          <w:rFonts w:hint="eastAsia"/>
          <w:szCs w:val="21"/>
        </w:rPr>
      </w:pPr>
      <w:r>
        <w:rPr>
          <w:rFonts w:hint="eastAsia"/>
          <w:szCs w:val="21"/>
        </w:rPr>
        <w:t>中标人拒绝与采购人签订合同的，采购人可以按照评审报告推荐的中标或者成交候选人名单排序，确定下一候选人为中标或者成交投标人，也可以重新开展政府采购活动。</w:t>
      </w:r>
    </w:p>
    <w:p w14:paraId="4C5FE239">
      <w:pPr>
        <w:numPr>
          <w:ilvl w:val="2"/>
          <w:numId w:val="3"/>
        </w:numPr>
        <w:spacing w:line="360" w:lineRule="auto"/>
        <w:ind w:left="0" w:firstLine="420" w:firstLineChars="200"/>
        <w:rPr>
          <w:rFonts w:hint="eastAsia"/>
          <w:szCs w:val="21"/>
        </w:rPr>
      </w:pPr>
      <w:r>
        <w:rPr>
          <w:rFonts w:hint="eastAsia"/>
          <w:szCs w:val="21"/>
        </w:rPr>
        <w:t>招标文件、中标人的投标文件和澄清文件等，均应作为签约的合同文本的基础。</w:t>
      </w:r>
    </w:p>
    <w:p w14:paraId="1576867E">
      <w:pPr>
        <w:numPr>
          <w:ilvl w:val="2"/>
          <w:numId w:val="3"/>
        </w:numPr>
        <w:spacing w:line="360" w:lineRule="auto"/>
        <w:ind w:left="0" w:firstLine="420" w:firstLineChars="200"/>
        <w:rPr>
          <w:rFonts w:hint="eastAsia"/>
          <w:szCs w:val="21"/>
        </w:rPr>
      </w:pPr>
      <w:r>
        <w:rPr>
          <w:rFonts w:hint="eastAsia"/>
          <w:szCs w:val="21"/>
        </w:rPr>
        <w:t>如采购人或中标人拒签合同，则按违约处理。</w:t>
      </w:r>
    </w:p>
    <w:p w14:paraId="7F1244D2">
      <w:pPr>
        <w:numPr>
          <w:ilvl w:val="2"/>
          <w:numId w:val="3"/>
        </w:numPr>
        <w:spacing w:line="360" w:lineRule="auto"/>
        <w:ind w:left="0" w:firstLine="420" w:firstLineChars="200"/>
        <w:rPr>
          <w:rFonts w:hint="eastAsia"/>
          <w:szCs w:val="21"/>
        </w:rPr>
      </w:pPr>
      <w:r>
        <w:rPr>
          <w:rFonts w:hint="eastAsia"/>
          <w:szCs w:val="21"/>
        </w:rPr>
        <w:t>政府采购合同应当包括采购人与中标人的名称和住所、标的、数量、质量、价款或者报酬、履行期限及地点和方式、验收要求、违约责任、解决争议的方法等内容。</w:t>
      </w:r>
    </w:p>
    <w:p w14:paraId="7AE71D34">
      <w:pPr>
        <w:numPr>
          <w:ilvl w:val="2"/>
          <w:numId w:val="3"/>
        </w:numPr>
        <w:spacing w:line="360" w:lineRule="auto"/>
        <w:ind w:left="0" w:firstLine="420" w:firstLineChars="200"/>
        <w:rPr>
          <w:rFonts w:hint="eastAsia"/>
          <w:szCs w:val="21"/>
        </w:rPr>
      </w:pPr>
      <w:r>
        <w:rPr>
          <w:rFonts w:hint="eastAsia"/>
          <w:szCs w:val="21"/>
        </w:rPr>
        <w:t>如中标人不按本章第6.5.1项约定签订合同，采购人将报请取消其中标决定。采购人可在中标候选人中重新选定中标人或者重新招标。</w:t>
      </w:r>
    </w:p>
    <w:p w14:paraId="0F5849E8">
      <w:pPr>
        <w:pStyle w:val="3"/>
        <w:numPr>
          <w:ilvl w:val="0"/>
          <w:numId w:val="3"/>
        </w:numPr>
        <w:tabs>
          <w:tab w:val="left" w:pos="721"/>
          <w:tab w:val="left" w:pos="840"/>
          <w:tab w:val="left" w:pos="2880"/>
          <w:tab w:val="left" w:pos="3780"/>
        </w:tabs>
        <w:jc w:val="both"/>
        <w:rPr>
          <w:rFonts w:hint="eastAsia" w:ascii="宋体" w:hAnsi="宋体"/>
          <w:szCs w:val="24"/>
        </w:rPr>
      </w:pPr>
      <w:bookmarkStart w:id="497" w:name="_Toc11291"/>
      <w:bookmarkStart w:id="498" w:name="_Toc26515"/>
      <w:bookmarkStart w:id="499" w:name="_Toc4053"/>
      <w:r>
        <w:rPr>
          <w:rFonts w:hint="eastAsia" w:ascii="宋体" w:hAnsi="宋体"/>
          <w:szCs w:val="24"/>
        </w:rPr>
        <w:t>政府采购政策</w:t>
      </w:r>
      <w:bookmarkEnd w:id="497"/>
      <w:bookmarkEnd w:id="498"/>
      <w:bookmarkEnd w:id="499"/>
    </w:p>
    <w:p w14:paraId="4918000E">
      <w:pPr>
        <w:numPr>
          <w:ilvl w:val="1"/>
          <w:numId w:val="3"/>
        </w:numPr>
        <w:spacing w:line="360" w:lineRule="auto"/>
        <w:rPr>
          <w:rFonts w:hint="eastAsia"/>
          <w:szCs w:val="21"/>
        </w:rPr>
      </w:pPr>
      <w:bookmarkStart w:id="500" w:name="_Toc16339"/>
      <w:r>
        <w:rPr>
          <w:rFonts w:hint="eastAsia"/>
          <w:szCs w:val="21"/>
        </w:rPr>
        <w:t>投标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38C6EA75">
      <w:pPr>
        <w:numPr>
          <w:ilvl w:val="1"/>
          <w:numId w:val="3"/>
        </w:numPr>
        <w:spacing w:line="360" w:lineRule="auto"/>
        <w:rPr>
          <w:rFonts w:hint="eastAsia"/>
          <w:szCs w:val="21"/>
        </w:rPr>
      </w:pPr>
      <w:r>
        <w:rPr>
          <w:rFonts w:hint="eastAsia"/>
          <w:szCs w:val="21"/>
        </w:rPr>
        <w:t>如投标产品属于财政部和国家发展改革委发布的《节能产品政府采购品目清单》中要求的政府强制采购节能产品的，投标人必须提供所投产品经国家确定的认证机构出具的、处于有效期之内的《国家节能产品认证证书》复印件或扫描件，如未提供《节能产品政府采购品目清单》中要求的政府强制采购节能产品及认证证书的，则认定其</w:t>
      </w:r>
      <w:r>
        <w:rPr>
          <w:rFonts w:hint="eastAsia"/>
          <w:b/>
          <w:bCs/>
          <w:szCs w:val="21"/>
        </w:rPr>
        <w:t>投标文件无效</w:t>
      </w:r>
      <w:r>
        <w:rPr>
          <w:rFonts w:hint="eastAsia"/>
          <w:szCs w:val="21"/>
        </w:rPr>
        <w:t>。</w:t>
      </w:r>
    </w:p>
    <w:p w14:paraId="421D6E62">
      <w:pPr>
        <w:numPr>
          <w:ilvl w:val="1"/>
          <w:numId w:val="3"/>
        </w:numPr>
        <w:spacing w:line="360" w:lineRule="auto"/>
        <w:rPr>
          <w:rFonts w:hint="eastAsia"/>
          <w:szCs w:val="21"/>
        </w:rPr>
      </w:pPr>
      <w:r>
        <w:rPr>
          <w:rFonts w:hint="eastAsia"/>
          <w:szCs w:val="21"/>
        </w:rPr>
        <w:t>投标人所投产品列入《无线局域网认证产品政府采购清单》的，应提供相关证明，在评标时予以优先采购，将给予投标人在评标办法中规定的标准分值进行加分评审。</w:t>
      </w:r>
    </w:p>
    <w:p w14:paraId="7E20844F">
      <w:pPr>
        <w:numPr>
          <w:ilvl w:val="1"/>
          <w:numId w:val="3"/>
        </w:numPr>
        <w:spacing w:line="360" w:lineRule="auto"/>
        <w:rPr>
          <w:rFonts w:hint="eastAsia"/>
          <w:szCs w:val="21"/>
        </w:rPr>
      </w:pPr>
      <w:r>
        <w:rPr>
          <w:rFonts w:hint="eastAsia"/>
          <w:szCs w:val="21"/>
        </w:rPr>
        <w:t>关于计算机办公设备，必须执行国家版权局、信息产业部、财政部等部门规定，投标人所投货物必须是国家信息部、版权局、商务部等部门认可的预装正版操作系统软件的计算机产品。</w:t>
      </w:r>
    </w:p>
    <w:p w14:paraId="4080BB51">
      <w:pPr>
        <w:numPr>
          <w:ilvl w:val="1"/>
          <w:numId w:val="3"/>
        </w:numPr>
        <w:spacing w:line="360" w:lineRule="auto"/>
        <w:rPr>
          <w:rFonts w:hint="eastAsia"/>
          <w:szCs w:val="21"/>
        </w:rPr>
      </w:pPr>
      <w:r>
        <w:rPr>
          <w:rFonts w:hint="eastAsia"/>
          <w:szCs w:val="21"/>
        </w:rPr>
        <w:t>采购货物为国家强制性认证产品的，必须符合强制性标准，并提供相关证明材料，否则认定其</w:t>
      </w:r>
      <w:r>
        <w:rPr>
          <w:rFonts w:hint="eastAsia"/>
          <w:b/>
          <w:bCs/>
          <w:szCs w:val="21"/>
        </w:rPr>
        <w:t>投标文件无效</w:t>
      </w:r>
      <w:r>
        <w:rPr>
          <w:rFonts w:hint="eastAsia"/>
          <w:szCs w:val="21"/>
        </w:rPr>
        <w:t>。</w:t>
      </w:r>
    </w:p>
    <w:p w14:paraId="259EEC91">
      <w:pPr>
        <w:numPr>
          <w:ilvl w:val="1"/>
          <w:numId w:val="3"/>
        </w:numPr>
        <w:spacing w:line="360" w:lineRule="auto"/>
        <w:rPr>
          <w:rFonts w:hint="eastAsia"/>
          <w:szCs w:val="21"/>
        </w:rPr>
      </w:pPr>
      <w:r>
        <w:rPr>
          <w:rFonts w:hint="eastAsia"/>
          <w:szCs w:val="21"/>
        </w:rPr>
        <w:t>优先采购本国产品。采购进口产品应符合《中华人民共和国政府采购法》并依法办理论证、审批手续。</w:t>
      </w:r>
    </w:p>
    <w:p w14:paraId="5CE63DDB">
      <w:pPr>
        <w:numPr>
          <w:ilvl w:val="1"/>
          <w:numId w:val="3"/>
        </w:numPr>
        <w:spacing w:line="360" w:lineRule="auto"/>
        <w:rPr>
          <w:rFonts w:hint="eastAsia"/>
          <w:szCs w:val="21"/>
        </w:rPr>
      </w:pPr>
      <w:r>
        <w:rPr>
          <w:rFonts w:hint="eastAsia"/>
        </w:rPr>
        <w:t>采购信息安全产品的，应当符合《信息安全技术网络安全专用产品安全技术要求》等相关国家标准的强制性要求，由具备资格的机构安全认证合格或者安全检测符合要求，否则认定其投标无效。</w:t>
      </w:r>
    </w:p>
    <w:p w14:paraId="07DFE9D5">
      <w:pPr>
        <w:numPr>
          <w:ilvl w:val="1"/>
          <w:numId w:val="3"/>
        </w:numPr>
        <w:spacing w:line="360" w:lineRule="auto"/>
        <w:rPr>
          <w:rFonts w:hint="eastAsia"/>
        </w:rPr>
      </w:pPr>
      <w:r>
        <w:rPr>
          <w:rFonts w:hint="eastAsia"/>
        </w:rPr>
        <w:t>商品包装和快递包装应符合《商品包装政府采购需求标准（试行）》和《快递包装政府采购需求标准（试行）》规定。</w:t>
      </w:r>
    </w:p>
    <w:p w14:paraId="341A39BE">
      <w:pPr>
        <w:numPr>
          <w:ilvl w:val="1"/>
          <w:numId w:val="3"/>
        </w:numPr>
        <w:spacing w:line="360" w:lineRule="auto"/>
        <w:rPr>
          <w:rFonts w:hint="eastAsia"/>
        </w:rPr>
      </w:pPr>
      <w:r>
        <w:rPr>
          <w:rFonts w:hint="eastAsia"/>
        </w:rPr>
        <w:t>为加快数据中心绿色转型，根据财政部、生态环境部、工业和信息化部关于印发《绿色数据中心政府采购需求标准（试行）》的通知（财库〔2023〕7 号），本项目如涉及绿色数据中心，则具体要求见《采购需求》。</w:t>
      </w:r>
    </w:p>
    <w:p w14:paraId="6D25EBB0">
      <w:pPr>
        <w:pStyle w:val="3"/>
        <w:numPr>
          <w:ilvl w:val="0"/>
          <w:numId w:val="3"/>
        </w:numPr>
        <w:tabs>
          <w:tab w:val="left" w:pos="721"/>
          <w:tab w:val="left" w:pos="840"/>
          <w:tab w:val="left" w:pos="2880"/>
          <w:tab w:val="left" w:pos="3780"/>
        </w:tabs>
        <w:jc w:val="both"/>
        <w:rPr>
          <w:rFonts w:hint="eastAsia" w:ascii="宋体" w:hAnsi="宋体"/>
          <w:szCs w:val="24"/>
        </w:rPr>
      </w:pPr>
      <w:bookmarkStart w:id="501" w:name="_Toc428276610"/>
      <w:bookmarkStart w:id="502" w:name="_Toc277149403"/>
      <w:bookmarkStart w:id="503" w:name="_Toc30131"/>
      <w:bookmarkStart w:id="504" w:name="_Toc269470343"/>
      <w:bookmarkStart w:id="505" w:name="_Toc8352"/>
      <w:bookmarkStart w:id="506" w:name="_Toc20925"/>
      <w:bookmarkStart w:id="507" w:name="_Toc270604842"/>
      <w:bookmarkStart w:id="508" w:name="_Toc29089"/>
      <w:bookmarkStart w:id="509" w:name="_Toc428351670"/>
      <w:bookmarkStart w:id="510" w:name="_Toc454788050"/>
      <w:bookmarkStart w:id="511" w:name="_Toc270604615"/>
      <w:r>
        <w:rPr>
          <w:rFonts w:hint="eastAsia" w:ascii="宋体" w:hAnsi="宋体"/>
          <w:szCs w:val="24"/>
        </w:rPr>
        <w:t>询问、质疑和投诉</w:t>
      </w:r>
      <w:bookmarkEnd w:id="501"/>
      <w:bookmarkEnd w:id="502"/>
      <w:bookmarkEnd w:id="503"/>
      <w:bookmarkEnd w:id="504"/>
      <w:bookmarkEnd w:id="505"/>
      <w:bookmarkEnd w:id="506"/>
      <w:bookmarkEnd w:id="507"/>
      <w:bookmarkEnd w:id="508"/>
      <w:bookmarkEnd w:id="509"/>
      <w:bookmarkEnd w:id="510"/>
      <w:bookmarkEnd w:id="511"/>
    </w:p>
    <w:p w14:paraId="62CFAB95">
      <w:pPr>
        <w:numPr>
          <w:ilvl w:val="1"/>
          <w:numId w:val="3"/>
        </w:numPr>
        <w:spacing w:line="360" w:lineRule="auto"/>
        <w:rPr>
          <w:rFonts w:hint="eastAsia"/>
          <w:szCs w:val="21"/>
        </w:rPr>
      </w:pPr>
      <w:bookmarkStart w:id="512" w:name="_Toc463011307"/>
      <w:bookmarkStart w:id="513" w:name="_Toc462934328"/>
      <w:bookmarkStart w:id="514" w:name="_Toc17445"/>
      <w:bookmarkStart w:id="515" w:name="_Toc455678154"/>
      <w:r>
        <w:rPr>
          <w:rFonts w:hint="eastAsia"/>
          <w:szCs w:val="21"/>
        </w:rPr>
        <w:t>投标人或有关当事人对采购过程、中标结果有异议的，可以向采购人或者采购代理机构提出询问。</w:t>
      </w:r>
      <w:bookmarkEnd w:id="512"/>
      <w:bookmarkEnd w:id="513"/>
      <w:bookmarkEnd w:id="514"/>
      <w:bookmarkEnd w:id="515"/>
    </w:p>
    <w:p w14:paraId="53F65BA7">
      <w:pPr>
        <w:numPr>
          <w:ilvl w:val="1"/>
          <w:numId w:val="3"/>
        </w:numPr>
        <w:spacing w:line="360" w:lineRule="auto"/>
        <w:rPr>
          <w:rFonts w:hint="eastAsia"/>
          <w:szCs w:val="21"/>
        </w:rPr>
      </w:pPr>
      <w:bookmarkStart w:id="516" w:name="_Toc27421"/>
      <w:bookmarkStart w:id="517" w:name="_Toc463011308"/>
      <w:bookmarkStart w:id="518" w:name="_Toc24621"/>
      <w:bookmarkStart w:id="519" w:name="_Toc462934329"/>
      <w:bookmarkStart w:id="520" w:name="_Toc455678155"/>
      <w:r>
        <w:rPr>
          <w:rFonts w:hint="eastAsia"/>
          <w:szCs w:val="21"/>
        </w:rPr>
        <w:t>采购人或者采购代理机构应当在三个工作日内对投标人依法提出的询问作出答复。</w:t>
      </w:r>
      <w:bookmarkEnd w:id="516"/>
      <w:bookmarkEnd w:id="517"/>
      <w:bookmarkEnd w:id="518"/>
      <w:bookmarkEnd w:id="519"/>
      <w:bookmarkEnd w:id="520"/>
    </w:p>
    <w:p w14:paraId="2D26FE6B">
      <w:pPr>
        <w:numPr>
          <w:ilvl w:val="1"/>
          <w:numId w:val="3"/>
        </w:numPr>
        <w:spacing w:line="360" w:lineRule="auto"/>
        <w:rPr>
          <w:rFonts w:hint="eastAsia"/>
          <w:szCs w:val="21"/>
        </w:rPr>
      </w:pPr>
      <w:bookmarkStart w:id="521" w:name="_Toc455678156"/>
      <w:bookmarkStart w:id="522" w:name="_Toc30298"/>
      <w:bookmarkStart w:id="523" w:name="_Toc28381"/>
      <w:bookmarkStart w:id="524" w:name="_Toc463011309"/>
      <w:bookmarkStart w:id="525" w:name="_Toc462934330"/>
      <w:r>
        <w:rPr>
          <w:rFonts w:hint="eastAsia"/>
          <w:szCs w:val="21"/>
        </w:rPr>
        <w:t>投标人认为招标文件、采购过程使自己的权益受到损害的，可以在知道或者应知其权益受到损害之日起七个工作日内，以书面形式向采购人或者采购代理机构提出质疑。</w:t>
      </w:r>
      <w:bookmarkEnd w:id="521"/>
      <w:bookmarkEnd w:id="522"/>
      <w:bookmarkEnd w:id="523"/>
      <w:bookmarkEnd w:id="524"/>
      <w:bookmarkEnd w:id="525"/>
    </w:p>
    <w:p w14:paraId="4BFB262A">
      <w:pPr>
        <w:numPr>
          <w:ilvl w:val="1"/>
          <w:numId w:val="3"/>
        </w:numPr>
        <w:spacing w:line="360" w:lineRule="auto"/>
        <w:rPr>
          <w:rFonts w:hint="eastAsia"/>
          <w:szCs w:val="21"/>
        </w:rPr>
      </w:pPr>
      <w:bookmarkStart w:id="526" w:name="_Toc16614"/>
      <w:bookmarkStart w:id="527" w:name="_Toc288"/>
      <w:bookmarkStart w:id="528" w:name="_Toc462934331"/>
      <w:bookmarkStart w:id="529" w:name="_Toc463011310"/>
      <w:r>
        <w:rPr>
          <w:rFonts w:hint="eastAsia"/>
          <w:szCs w:val="21"/>
        </w:rPr>
        <w:t>投标人认为中标结果使自己的权益受到损害的，可以在中标结果公告期限届满之日起七个工作日内，以书面形式向采购人或者采购代理机构提出质疑，接收质疑函联系部门、电话及地址详见招标公告。</w:t>
      </w:r>
      <w:bookmarkEnd w:id="526"/>
      <w:bookmarkEnd w:id="527"/>
      <w:bookmarkEnd w:id="528"/>
      <w:bookmarkEnd w:id="529"/>
      <w:r>
        <w:rPr>
          <w:rFonts w:hint="eastAsia"/>
          <w:szCs w:val="21"/>
        </w:rPr>
        <w:t>在法定质疑期内投标人针对同一采购程序环节的质疑应当一次性提出。</w:t>
      </w:r>
    </w:p>
    <w:p w14:paraId="7CF3E42F">
      <w:pPr>
        <w:numPr>
          <w:ilvl w:val="1"/>
          <w:numId w:val="3"/>
        </w:numPr>
        <w:spacing w:line="360" w:lineRule="auto"/>
        <w:rPr>
          <w:rFonts w:hint="eastAsia"/>
          <w:szCs w:val="21"/>
        </w:rPr>
      </w:pPr>
      <w:bookmarkStart w:id="530" w:name="_Toc455678157"/>
      <w:bookmarkStart w:id="531" w:name="_Toc463011311"/>
      <w:bookmarkStart w:id="532" w:name="_Toc5258"/>
      <w:bookmarkStart w:id="533" w:name="_Toc462934332"/>
      <w:bookmarkStart w:id="534" w:name="_Toc18478"/>
      <w:r>
        <w:rPr>
          <w:rFonts w:hint="eastAsia"/>
          <w:szCs w:val="21"/>
        </w:rPr>
        <w:t>采购人或者采购代理机构应当在收到投标人的书面质疑后七个工作日内作出答复，并以书面形式通知质疑投标人和其他有关投标人，但答复的内容不得涉及商业秘密。</w:t>
      </w:r>
      <w:bookmarkEnd w:id="530"/>
      <w:bookmarkEnd w:id="531"/>
      <w:bookmarkEnd w:id="532"/>
      <w:bookmarkEnd w:id="533"/>
      <w:bookmarkEnd w:id="534"/>
    </w:p>
    <w:p w14:paraId="3385D17E">
      <w:pPr>
        <w:numPr>
          <w:ilvl w:val="1"/>
          <w:numId w:val="3"/>
        </w:numPr>
        <w:spacing w:line="360" w:lineRule="auto"/>
        <w:rPr>
          <w:rFonts w:hint="eastAsia"/>
          <w:szCs w:val="21"/>
        </w:rPr>
      </w:pPr>
      <w:bookmarkStart w:id="535" w:name="_Toc463011312"/>
      <w:bookmarkStart w:id="536" w:name="_Toc462934333"/>
      <w:bookmarkStart w:id="537" w:name="_Toc455678158"/>
      <w:bookmarkStart w:id="538" w:name="_Toc4898"/>
      <w:bookmarkStart w:id="539" w:name="_Toc21390"/>
      <w:r>
        <w:rPr>
          <w:rFonts w:hint="eastAsia"/>
          <w:szCs w:val="21"/>
        </w:rPr>
        <w:t>质疑投标人对采购人、采购代理机构的答复不满意或者采购人、采购代理机构未在规定的时间内作出答复的，可以在答复期满后十五个工作日内向同级政府采购监督管理部门投诉。</w:t>
      </w:r>
      <w:bookmarkEnd w:id="535"/>
      <w:bookmarkEnd w:id="536"/>
      <w:bookmarkEnd w:id="537"/>
      <w:bookmarkEnd w:id="538"/>
      <w:bookmarkEnd w:id="539"/>
    </w:p>
    <w:p w14:paraId="2FC29056">
      <w:pPr>
        <w:numPr>
          <w:ilvl w:val="1"/>
          <w:numId w:val="3"/>
        </w:numPr>
        <w:spacing w:line="360" w:lineRule="auto"/>
        <w:rPr>
          <w:rFonts w:hint="eastAsia"/>
          <w:szCs w:val="21"/>
        </w:rPr>
      </w:pPr>
      <w:bookmarkStart w:id="540" w:name="_Toc462934334"/>
      <w:bookmarkStart w:id="541" w:name="_Toc455678159"/>
      <w:bookmarkStart w:id="542" w:name="_Toc11631"/>
      <w:bookmarkStart w:id="543" w:name="_Toc17682"/>
      <w:bookmarkStart w:id="544" w:name="_Toc463011313"/>
      <w:r>
        <w:rPr>
          <w:rFonts w:hint="eastAsia"/>
          <w:szCs w:val="21"/>
        </w:rPr>
        <w:t>投标人质疑、投诉应当有明确的请求和必要的证明材料。投标人投诉的事项不得超出已质疑事项的范围。</w:t>
      </w:r>
      <w:bookmarkEnd w:id="540"/>
      <w:bookmarkEnd w:id="541"/>
      <w:bookmarkEnd w:id="542"/>
      <w:bookmarkEnd w:id="543"/>
      <w:bookmarkEnd w:id="544"/>
    </w:p>
    <w:p w14:paraId="56280A9C">
      <w:pPr>
        <w:pStyle w:val="3"/>
        <w:numPr>
          <w:ilvl w:val="0"/>
          <w:numId w:val="3"/>
        </w:numPr>
        <w:tabs>
          <w:tab w:val="left" w:pos="721"/>
          <w:tab w:val="left" w:pos="2880"/>
          <w:tab w:val="left" w:pos="3780"/>
        </w:tabs>
        <w:jc w:val="both"/>
        <w:rPr>
          <w:rFonts w:hint="eastAsia" w:ascii="宋体" w:hAnsi="宋体"/>
          <w:szCs w:val="24"/>
        </w:rPr>
      </w:pPr>
      <w:bookmarkStart w:id="545" w:name="_Toc19858"/>
      <w:bookmarkStart w:id="546" w:name="_Toc4907"/>
      <w:bookmarkStart w:id="547" w:name="_Toc18765"/>
      <w:r>
        <w:rPr>
          <w:rFonts w:hint="eastAsia" w:ascii="宋体" w:hAnsi="宋体"/>
          <w:szCs w:val="24"/>
        </w:rPr>
        <w:t>需要补充的其他内容</w:t>
      </w:r>
      <w:bookmarkEnd w:id="545"/>
      <w:bookmarkEnd w:id="546"/>
      <w:bookmarkEnd w:id="547"/>
    </w:p>
    <w:p w14:paraId="592BD491">
      <w:pPr>
        <w:spacing w:line="360" w:lineRule="auto"/>
        <w:ind w:left="420" w:leftChars="200"/>
        <w:rPr>
          <w:rFonts w:hint="eastAsia"/>
          <w:szCs w:val="21"/>
        </w:rPr>
      </w:pPr>
      <w:r>
        <w:rPr>
          <w:rFonts w:hint="eastAsia"/>
          <w:szCs w:val="21"/>
        </w:rPr>
        <w:t>需要补充的其他内容：见投标人须知前附表。</w:t>
      </w:r>
      <w:bookmarkEnd w:id="500"/>
      <w:r>
        <w:rPr>
          <w:rFonts w:hint="eastAsia"/>
          <w:szCs w:val="21"/>
        </w:rPr>
        <w:t xml:space="preserve"> </w:t>
      </w:r>
    </w:p>
    <w:p w14:paraId="19AE9A5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0" w:lineRule="atLeast"/>
        <w:ind w:left="0" w:right="0" w:firstLine="0"/>
        <w:jc w:val="center"/>
        <w:rPr>
          <w:rFonts w:hint="eastAsia" w:ascii="宋体" w:hAnsi="宋体" w:eastAsia="宋体" w:cs="宋体"/>
          <w:b/>
          <w:bCs/>
          <w:i w:val="0"/>
          <w:caps w:val="0"/>
          <w:color w:val="333333"/>
          <w:spacing w:val="8"/>
          <w:sz w:val="28"/>
          <w:szCs w:val="28"/>
          <w:shd w:val="clear" w:color="auto" w:fill="FFFFFF"/>
        </w:rPr>
      </w:pPr>
      <w:r>
        <w:rPr>
          <w:rFonts w:hint="eastAsia" w:cs="宋体"/>
          <w:b/>
          <w:bCs/>
          <w:szCs w:val="21"/>
        </w:rPr>
        <w:br w:type="page"/>
      </w:r>
      <w:r>
        <w:rPr>
          <w:rFonts w:hint="eastAsia" w:ascii="宋体" w:hAnsi="宋体" w:eastAsia="宋体" w:cs="宋体"/>
          <w:b/>
          <w:bCs/>
          <w:i w:val="0"/>
          <w:caps w:val="0"/>
          <w:color w:val="333333"/>
          <w:spacing w:val="8"/>
          <w:sz w:val="28"/>
          <w:szCs w:val="28"/>
          <w:shd w:val="clear" w:color="auto" w:fill="FFFFFF"/>
        </w:rPr>
        <w:t>统计上大中小微型企业划分标准</w:t>
      </w:r>
    </w:p>
    <w:p w14:paraId="7C446B5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0" w:lineRule="atLeast"/>
        <w:ind w:left="0" w:right="0" w:firstLine="0"/>
        <w:jc w:val="center"/>
        <w:rPr>
          <w:rFonts w:hint="eastAsia" w:ascii="宋体" w:hAnsi="宋体" w:eastAsia="宋体" w:cs="宋体"/>
          <w:b/>
          <w:bCs/>
          <w:i w:val="0"/>
          <w:caps w:val="0"/>
          <w:color w:val="333333"/>
          <w:spacing w:val="8"/>
          <w:sz w:val="28"/>
          <w:szCs w:val="28"/>
          <w:shd w:val="clear" w:color="auto" w:fill="FFFFFF"/>
        </w:rPr>
      </w:pPr>
    </w:p>
    <w:tbl>
      <w:tblPr>
        <w:tblStyle w:val="23"/>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5CB9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6A88426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行业名称</w:t>
            </w:r>
          </w:p>
        </w:tc>
        <w:tc>
          <w:tcPr>
            <w:tcW w:w="14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8567B8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401BE6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B4D36A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0A4C35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中型</w:t>
            </w:r>
          </w:p>
        </w:tc>
        <w:tc>
          <w:tcPr>
            <w:tcW w:w="153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9BDC5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小型</w:t>
            </w:r>
          </w:p>
        </w:tc>
        <w:tc>
          <w:tcPr>
            <w:tcW w:w="106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B4A500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Style w:val="25"/>
                <w:rFonts w:hint="eastAsia" w:ascii="宋体" w:hAnsi="宋体" w:eastAsia="宋体" w:cs="宋体"/>
                <w:i w:val="0"/>
                <w:caps w:val="0"/>
                <w:color w:val="FFFFFF"/>
                <w:spacing w:val="8"/>
                <w:sz w:val="21"/>
                <w:szCs w:val="21"/>
              </w:rPr>
              <w:t>微型</w:t>
            </w:r>
          </w:p>
        </w:tc>
      </w:tr>
      <w:tr w14:paraId="28B3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0004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000000"/>
                <w:spacing w:val="-15"/>
                <w:sz w:val="21"/>
                <w:szCs w:val="21"/>
              </w:rPr>
              <w:t>软件和信息技术服</w:t>
            </w:r>
            <w:r>
              <w:rPr>
                <w:rFonts w:hint="eastAsia" w:ascii="宋体" w:hAnsi="宋体" w:eastAsia="宋体" w:cs="宋体"/>
                <w:b w:val="0"/>
                <w:i w:val="0"/>
                <w:caps w:val="0"/>
                <w:color w:val="000000"/>
                <w:spacing w:val="8"/>
                <w:sz w:val="21"/>
                <w:szCs w:val="21"/>
              </w:rPr>
              <w:t>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AECB2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73DAB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85FB6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92D93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DBCAB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B0D8D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X＜10</w:t>
            </w:r>
          </w:p>
        </w:tc>
      </w:tr>
      <w:tr w14:paraId="3D67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297C5C">
            <w:pPr>
              <w:jc w:val="both"/>
              <w:rPr>
                <w:rFonts w:hint="eastAsia" w:ascii="宋体" w:hAnsi="宋体" w:eastAsia="宋体" w:cs="宋体"/>
                <w:b w:val="0"/>
                <w:i w:val="0"/>
                <w:caps w:val="0"/>
                <w:color w:val="333333"/>
                <w:spacing w:val="8"/>
                <w:sz w:val="21"/>
                <w:szCs w:val="21"/>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C49FE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C3BEB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7DBC4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E5FB5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1000≤Y＜10000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6B237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  50≤Y＜1000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500CA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i w:val="0"/>
                <w:caps w:val="0"/>
                <w:color w:val="000000"/>
                <w:spacing w:val="8"/>
                <w:sz w:val="21"/>
                <w:szCs w:val="21"/>
              </w:rPr>
              <w:t>Y＜50</w:t>
            </w:r>
          </w:p>
        </w:tc>
      </w:tr>
    </w:tbl>
    <w:p w14:paraId="5AD142AC">
      <w:pPr>
        <w:autoSpaceDE w:val="0"/>
        <w:autoSpaceDN w:val="0"/>
        <w:adjustRightInd w:val="0"/>
        <w:spacing w:line="360" w:lineRule="auto"/>
        <w:jc w:val="left"/>
        <w:rPr>
          <w:rFonts w:hint="eastAsia"/>
          <w:kern w:val="0"/>
          <w:szCs w:val="21"/>
        </w:rPr>
      </w:pPr>
      <w:r>
        <w:rPr>
          <w:rFonts w:hint="eastAsia"/>
          <w:kern w:val="0"/>
          <w:szCs w:val="21"/>
        </w:rPr>
        <w:t>说明：</w:t>
      </w:r>
      <w:r>
        <w:rPr>
          <w:rFonts w:hint="eastAsia"/>
          <w:b/>
          <w:bCs/>
          <w:kern w:val="0"/>
          <w:szCs w:val="21"/>
        </w:rPr>
        <w:t>1.大型、中型和小型企业须同时满足所列指标的下限，否则下划一档；微型企业只须满足所列指标中的一项即可。</w:t>
      </w:r>
    </w:p>
    <w:p w14:paraId="28F7B5D3">
      <w:pPr>
        <w:autoSpaceDE w:val="0"/>
        <w:autoSpaceDN w:val="0"/>
        <w:adjustRightInd w:val="0"/>
        <w:spacing w:line="360" w:lineRule="auto"/>
        <w:ind w:firstLine="420" w:firstLineChars="200"/>
        <w:jc w:val="left"/>
        <w:rPr>
          <w:rFonts w:hint="eastAsia"/>
          <w:kern w:val="0"/>
          <w:szCs w:val="21"/>
        </w:rPr>
      </w:pPr>
      <w:r>
        <w:rPr>
          <w:rFonts w:hint="eastAsia"/>
          <w:kern w:val="0"/>
          <w:szCs w:val="21"/>
        </w:rPr>
        <w:t>2.附表中各行业的范围以《国民经济行业分类》（GB/T4754-2017）为准。</w:t>
      </w:r>
      <w:r>
        <w:rPr>
          <w:rFonts w:hint="eastAsia"/>
          <w:b/>
          <w:bCs/>
          <w:kern w:val="0"/>
          <w:szCs w:val="21"/>
        </w:rPr>
        <w:t>带*的项为行业组合类别</w:t>
      </w:r>
      <w:r>
        <w:rPr>
          <w:rFonts w:hint="eastAsia"/>
          <w:kern w:val="0"/>
          <w:szCs w:val="21"/>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07245D">
      <w:pPr>
        <w:autoSpaceDE w:val="0"/>
        <w:autoSpaceDN w:val="0"/>
        <w:adjustRightInd w:val="0"/>
        <w:spacing w:line="360" w:lineRule="auto"/>
        <w:ind w:firstLine="420" w:firstLineChars="200"/>
        <w:jc w:val="left"/>
        <w:outlineLvl w:val="1"/>
        <w:rPr>
          <w:rFonts w:hint="eastAsia"/>
          <w:kern w:val="0"/>
          <w:szCs w:val="21"/>
        </w:rPr>
      </w:pPr>
      <w:bookmarkStart w:id="548" w:name="_Toc5988"/>
      <w:r>
        <w:rPr>
          <w:rFonts w:hint="eastAsia"/>
          <w:kern w:val="0"/>
          <w:szCs w:val="21"/>
        </w:rPr>
        <w:t>3.企业划分指标以现行统计制度为准。</w:t>
      </w:r>
      <w:bookmarkEnd w:id="548"/>
    </w:p>
    <w:p w14:paraId="270ACCEB">
      <w:pPr>
        <w:autoSpaceDE w:val="0"/>
        <w:autoSpaceDN w:val="0"/>
        <w:adjustRightInd w:val="0"/>
        <w:spacing w:line="360" w:lineRule="auto"/>
        <w:ind w:firstLine="420" w:firstLineChars="200"/>
        <w:jc w:val="left"/>
        <w:rPr>
          <w:rFonts w:hint="eastAsia"/>
          <w:kern w:val="0"/>
          <w:szCs w:val="21"/>
        </w:rPr>
      </w:pPr>
      <w:r>
        <w:rPr>
          <w:rFonts w:hint="eastAsia"/>
          <w:kern w:val="0"/>
          <w:szCs w:val="21"/>
        </w:rPr>
        <w:t>（1）从业人员，是指期末从业人员数，没有期末从业人员数的，采用全年平均人员数代替。</w:t>
      </w:r>
    </w:p>
    <w:p w14:paraId="646411A2">
      <w:pPr>
        <w:autoSpaceDE w:val="0"/>
        <w:autoSpaceDN w:val="0"/>
        <w:adjustRightInd w:val="0"/>
        <w:spacing w:line="360" w:lineRule="auto"/>
        <w:ind w:firstLine="420" w:firstLineChars="200"/>
        <w:jc w:val="left"/>
        <w:rPr>
          <w:rFonts w:hint="eastAsia"/>
          <w:kern w:val="0"/>
          <w:szCs w:val="21"/>
        </w:rPr>
      </w:pPr>
      <w:r>
        <w:rPr>
          <w:rFonts w:hint="eastAsia"/>
          <w:kern w:val="0"/>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E0571E1">
      <w:pPr>
        <w:autoSpaceDE w:val="0"/>
        <w:autoSpaceDN w:val="0"/>
        <w:adjustRightInd w:val="0"/>
        <w:spacing w:line="360" w:lineRule="auto"/>
        <w:ind w:firstLine="420" w:firstLineChars="200"/>
        <w:jc w:val="left"/>
        <w:rPr>
          <w:rFonts w:hint="eastAsia"/>
          <w:kern w:val="0"/>
          <w:szCs w:val="21"/>
        </w:rPr>
      </w:pPr>
      <w:r>
        <w:rPr>
          <w:rFonts w:hint="eastAsia"/>
          <w:kern w:val="0"/>
          <w:szCs w:val="21"/>
        </w:rPr>
        <w:t>（3）资产总额，采用资产总计代替。</w:t>
      </w:r>
    </w:p>
    <w:p w14:paraId="61EEB282">
      <w:pPr>
        <w:autoSpaceDE w:val="0"/>
        <w:autoSpaceDN w:val="0"/>
        <w:adjustRightInd w:val="0"/>
        <w:spacing w:line="360" w:lineRule="auto"/>
        <w:ind w:firstLine="640" w:firstLineChars="200"/>
        <w:jc w:val="left"/>
        <w:rPr>
          <w:rFonts w:hint="eastAsia"/>
          <w:kern w:val="0"/>
          <w:szCs w:val="21"/>
        </w:rPr>
      </w:pPr>
      <w:r>
        <w:rPr>
          <w:rFonts w:hint="eastAsia"/>
          <w:sz w:val="32"/>
          <w:szCs w:val="32"/>
        </w:rPr>
        <w:br w:type="page"/>
      </w:r>
      <w:r>
        <w:rPr>
          <w:rFonts w:hint="eastAsia"/>
          <w:b/>
          <w:bCs/>
          <w:kern w:val="0"/>
          <w:szCs w:val="21"/>
        </w:rPr>
        <w:t>附件2：</w:t>
      </w:r>
    </w:p>
    <w:p w14:paraId="1D43031D">
      <w:pPr>
        <w:autoSpaceDE w:val="0"/>
        <w:autoSpaceDN w:val="0"/>
        <w:adjustRightInd w:val="0"/>
        <w:spacing w:line="360" w:lineRule="auto"/>
        <w:ind w:firstLine="420" w:firstLineChars="200"/>
        <w:jc w:val="left"/>
        <w:rPr>
          <w:rFonts w:hint="eastAsia"/>
          <w:kern w:val="0"/>
          <w:szCs w:val="21"/>
        </w:rPr>
      </w:pPr>
    </w:p>
    <w:p w14:paraId="2EDB39DE">
      <w:pPr>
        <w:autoSpaceDE w:val="0"/>
        <w:autoSpaceDN w:val="0"/>
        <w:adjustRightInd w:val="0"/>
        <w:spacing w:line="360" w:lineRule="auto"/>
        <w:ind w:firstLine="562" w:firstLineChars="200"/>
        <w:jc w:val="center"/>
        <w:outlineLvl w:val="0"/>
        <w:rPr>
          <w:rFonts w:hint="eastAsia"/>
          <w:b/>
          <w:bCs/>
          <w:kern w:val="0"/>
          <w:sz w:val="28"/>
          <w:szCs w:val="28"/>
        </w:rPr>
      </w:pPr>
      <w:bookmarkStart w:id="549" w:name="_Toc20178"/>
      <w:bookmarkStart w:id="550" w:name="_Toc28343"/>
      <w:r>
        <w:rPr>
          <w:rFonts w:hint="eastAsia"/>
          <w:b/>
          <w:bCs/>
          <w:kern w:val="0"/>
          <w:sz w:val="28"/>
          <w:szCs w:val="28"/>
        </w:rPr>
        <w:t>河南省政府采购合同融资政策告知函</w:t>
      </w:r>
      <w:bookmarkEnd w:id="549"/>
      <w:bookmarkEnd w:id="550"/>
    </w:p>
    <w:p w14:paraId="2B47B452">
      <w:pPr>
        <w:autoSpaceDE w:val="0"/>
        <w:autoSpaceDN w:val="0"/>
        <w:adjustRightInd w:val="0"/>
        <w:spacing w:line="360" w:lineRule="auto"/>
        <w:ind w:firstLine="420" w:firstLineChars="200"/>
        <w:jc w:val="left"/>
        <w:rPr>
          <w:rFonts w:hint="eastAsia"/>
          <w:kern w:val="0"/>
          <w:szCs w:val="21"/>
        </w:rPr>
      </w:pPr>
      <w:r>
        <w:rPr>
          <w:rFonts w:hint="eastAsia"/>
          <w:kern w:val="0"/>
          <w:szCs w:val="21"/>
        </w:rPr>
        <w:t>各投标人：</w:t>
      </w:r>
    </w:p>
    <w:p w14:paraId="78DD69E1">
      <w:pPr>
        <w:autoSpaceDE w:val="0"/>
        <w:autoSpaceDN w:val="0"/>
        <w:adjustRightInd w:val="0"/>
        <w:spacing w:line="360" w:lineRule="auto"/>
        <w:ind w:firstLine="420" w:firstLineChars="200"/>
        <w:jc w:val="left"/>
        <w:rPr>
          <w:rFonts w:hint="eastAsia"/>
          <w:kern w:val="0"/>
          <w:szCs w:val="21"/>
        </w:rPr>
      </w:pPr>
      <w:r>
        <w:rPr>
          <w:rFonts w:hint="eastAsia"/>
          <w:kern w:val="0"/>
          <w:szCs w:val="21"/>
        </w:rPr>
        <w:t>欢迎贵公司参与河南省政府采购活动！</w:t>
      </w:r>
    </w:p>
    <w:p w14:paraId="6133D080">
      <w:pPr>
        <w:autoSpaceDE w:val="0"/>
        <w:autoSpaceDN w:val="0"/>
        <w:adjustRightInd w:val="0"/>
        <w:spacing w:line="360" w:lineRule="auto"/>
        <w:ind w:firstLine="420" w:firstLineChars="200"/>
        <w:jc w:val="left"/>
        <w:rPr>
          <w:rFonts w:hint="eastAsia"/>
          <w:kern w:val="0"/>
          <w:szCs w:val="21"/>
        </w:rPr>
      </w:pPr>
      <w:r>
        <w:rPr>
          <w:rFonts w:hint="eastAsia"/>
          <w:kern w:val="0"/>
          <w:szCs w:val="21"/>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1BD2B0C5">
      <w:pPr>
        <w:autoSpaceDE w:val="0"/>
        <w:autoSpaceDN w:val="0"/>
        <w:adjustRightInd w:val="0"/>
        <w:spacing w:line="360" w:lineRule="auto"/>
        <w:ind w:firstLine="420" w:firstLineChars="200"/>
        <w:jc w:val="left"/>
        <w:rPr>
          <w:rFonts w:hint="eastAsia"/>
          <w:kern w:val="0"/>
          <w:szCs w:val="21"/>
        </w:rPr>
      </w:pPr>
      <w:r>
        <w:rPr>
          <w:rFonts w:hint="eastAsia"/>
          <w:kern w:val="0"/>
          <w:szCs w:val="21"/>
        </w:rPr>
        <w:t>贷款渠道和提供贷款的金融机构，可在河南省政府采购网“河南省政府采购合同融资平台”查询联系。</w:t>
      </w:r>
    </w:p>
    <w:p w14:paraId="7CD4291D">
      <w:pPr>
        <w:autoSpaceDE w:val="0"/>
        <w:autoSpaceDN w:val="0"/>
        <w:adjustRightInd w:val="0"/>
        <w:spacing w:line="360" w:lineRule="auto"/>
        <w:ind w:firstLine="420" w:firstLineChars="200"/>
        <w:jc w:val="left"/>
        <w:rPr>
          <w:rFonts w:hint="eastAsia"/>
          <w:kern w:val="0"/>
          <w:szCs w:val="21"/>
        </w:rPr>
      </w:pPr>
    </w:p>
    <w:p w14:paraId="723A3C89">
      <w:pPr>
        <w:pStyle w:val="21"/>
        <w:spacing w:line="360" w:lineRule="auto"/>
        <w:rPr>
          <w:rFonts w:hint="eastAsia" w:eastAsia="宋体"/>
          <w:kern w:val="0"/>
          <w:szCs w:val="21"/>
        </w:rPr>
      </w:pPr>
    </w:p>
    <w:p w14:paraId="3F314F7A">
      <w:pPr>
        <w:autoSpaceDE w:val="0"/>
        <w:autoSpaceDN w:val="0"/>
        <w:adjustRightInd w:val="0"/>
        <w:spacing w:line="360" w:lineRule="auto"/>
        <w:ind w:firstLine="422" w:firstLineChars="200"/>
        <w:jc w:val="left"/>
        <w:rPr>
          <w:rFonts w:hint="eastAsia"/>
          <w:b/>
          <w:bCs/>
          <w:kern w:val="0"/>
          <w:szCs w:val="21"/>
        </w:rPr>
      </w:pPr>
    </w:p>
    <w:p w14:paraId="61C2D0F6">
      <w:pPr>
        <w:pStyle w:val="2"/>
        <w:rPr>
          <w:rFonts w:hint="eastAsia" w:ascii="宋体" w:hAnsi="宋体"/>
        </w:rPr>
      </w:pPr>
      <w:r>
        <w:rPr>
          <w:rFonts w:hint="eastAsia" w:ascii="宋体" w:hAnsi="宋体"/>
          <w:szCs w:val="32"/>
        </w:rPr>
        <w:br w:type="page"/>
      </w:r>
      <w:bookmarkStart w:id="551" w:name="_Toc20081"/>
      <w:bookmarkStart w:id="552" w:name="_Toc3808"/>
      <w:bookmarkStart w:id="553" w:name="_Toc19667"/>
      <w:bookmarkStart w:id="554" w:name="_Toc30874"/>
      <w:r>
        <w:rPr>
          <w:rStyle w:val="30"/>
          <w:rFonts w:hint="eastAsia" w:ascii="宋体" w:hAnsi="宋体"/>
          <w:b/>
          <w:szCs w:val="22"/>
        </w:rPr>
        <w:t>第三章 资格审查</w:t>
      </w:r>
      <w:bookmarkEnd w:id="551"/>
      <w:bookmarkEnd w:id="552"/>
      <w:bookmarkEnd w:id="553"/>
      <w:bookmarkEnd w:id="554"/>
    </w:p>
    <w:p w14:paraId="09D75ED0">
      <w:pPr>
        <w:pStyle w:val="4"/>
        <w:ind w:left="482"/>
        <w:jc w:val="center"/>
        <w:rPr>
          <w:rFonts w:hint="eastAsia"/>
          <w:sz w:val="24"/>
          <w:szCs w:val="24"/>
        </w:rPr>
      </w:pPr>
      <w:bookmarkStart w:id="555" w:name="_Toc16729"/>
      <w:bookmarkStart w:id="556" w:name="_Toc13197"/>
      <w:bookmarkStart w:id="557" w:name="_Toc11714"/>
      <w:bookmarkStart w:id="558" w:name="_Toc27033"/>
      <w:bookmarkStart w:id="559" w:name="_Toc12421"/>
      <w:bookmarkStart w:id="560" w:name="_Toc21173"/>
      <w:bookmarkStart w:id="561" w:name="_Toc25973"/>
      <w:bookmarkStart w:id="562" w:name="_Toc6735"/>
      <w:bookmarkStart w:id="563" w:name="_Toc27205"/>
      <w:bookmarkStart w:id="564" w:name="_Toc28519"/>
      <w:bookmarkStart w:id="565" w:name="_Toc32604"/>
      <w:bookmarkStart w:id="566" w:name="_Toc30398"/>
      <w:r>
        <w:rPr>
          <w:rFonts w:hint="eastAsia"/>
          <w:sz w:val="24"/>
          <w:szCs w:val="24"/>
        </w:rPr>
        <w:t>资格审查前附表</w:t>
      </w:r>
      <w:bookmarkEnd w:id="555"/>
      <w:bookmarkEnd w:id="556"/>
      <w:bookmarkEnd w:id="557"/>
      <w:bookmarkEnd w:id="558"/>
      <w:bookmarkEnd w:id="559"/>
      <w:bookmarkEnd w:id="560"/>
      <w:bookmarkEnd w:id="561"/>
      <w:bookmarkEnd w:id="562"/>
      <w:bookmarkEnd w:id="563"/>
      <w:bookmarkEnd w:id="564"/>
      <w:bookmarkEnd w:id="565"/>
      <w:bookmarkEnd w:id="566"/>
    </w:p>
    <w:p w14:paraId="265D0531">
      <w:pPr>
        <w:spacing w:line="360" w:lineRule="auto"/>
        <w:rPr>
          <w:rFonts w:hint="eastAsia"/>
          <w:b/>
          <w:sz w:val="24"/>
        </w:rPr>
      </w:pPr>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31"/>
        <w:gridCol w:w="5997"/>
      </w:tblGrid>
      <w:tr w14:paraId="02CE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Align w:val="center"/>
          </w:tcPr>
          <w:p w14:paraId="599CE20B">
            <w:pPr>
              <w:widowControl/>
              <w:spacing w:line="360" w:lineRule="auto"/>
              <w:jc w:val="center"/>
              <w:rPr>
                <w:rFonts w:hint="eastAsia"/>
                <w:kern w:val="0"/>
                <w:szCs w:val="21"/>
              </w:rPr>
            </w:pPr>
            <w:r>
              <w:rPr>
                <w:rFonts w:hint="eastAsia"/>
                <w:kern w:val="0"/>
                <w:szCs w:val="21"/>
              </w:rPr>
              <w:t>条款</w:t>
            </w:r>
          </w:p>
        </w:tc>
        <w:tc>
          <w:tcPr>
            <w:tcW w:w="2431" w:type="dxa"/>
            <w:vAlign w:val="center"/>
          </w:tcPr>
          <w:p w14:paraId="7298B781">
            <w:pPr>
              <w:widowControl/>
              <w:spacing w:line="360" w:lineRule="auto"/>
              <w:jc w:val="center"/>
              <w:rPr>
                <w:rFonts w:hint="eastAsia"/>
                <w:kern w:val="0"/>
                <w:szCs w:val="21"/>
              </w:rPr>
            </w:pPr>
            <w:r>
              <w:rPr>
                <w:rFonts w:hint="eastAsia"/>
                <w:kern w:val="0"/>
                <w:szCs w:val="21"/>
              </w:rPr>
              <w:t>评审因素</w:t>
            </w:r>
          </w:p>
        </w:tc>
        <w:tc>
          <w:tcPr>
            <w:tcW w:w="5997" w:type="dxa"/>
            <w:vAlign w:val="center"/>
          </w:tcPr>
          <w:p w14:paraId="67C4C533">
            <w:pPr>
              <w:widowControl/>
              <w:spacing w:line="360" w:lineRule="auto"/>
              <w:jc w:val="center"/>
              <w:rPr>
                <w:rFonts w:hint="eastAsia"/>
                <w:kern w:val="0"/>
                <w:szCs w:val="21"/>
              </w:rPr>
            </w:pPr>
            <w:r>
              <w:rPr>
                <w:rFonts w:hint="eastAsia"/>
                <w:kern w:val="0"/>
                <w:szCs w:val="21"/>
              </w:rPr>
              <w:t>评审标准</w:t>
            </w:r>
          </w:p>
        </w:tc>
      </w:tr>
      <w:tr w14:paraId="42B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14:paraId="38CB3CD1">
            <w:pPr>
              <w:widowControl/>
              <w:spacing w:line="360" w:lineRule="auto"/>
              <w:jc w:val="center"/>
              <w:rPr>
                <w:rFonts w:hint="eastAsia"/>
                <w:kern w:val="0"/>
                <w:szCs w:val="21"/>
              </w:rPr>
            </w:pPr>
            <w:r>
              <w:rPr>
                <w:rFonts w:hint="eastAsia"/>
                <w:szCs w:val="21"/>
              </w:rPr>
              <w:t>资格审查</w:t>
            </w:r>
            <w:r>
              <w:rPr>
                <w:rFonts w:hint="eastAsia"/>
                <w:kern w:val="0"/>
                <w:szCs w:val="21"/>
              </w:rPr>
              <w:t>标准</w:t>
            </w:r>
          </w:p>
        </w:tc>
        <w:tc>
          <w:tcPr>
            <w:tcW w:w="2431" w:type="dxa"/>
            <w:vAlign w:val="center"/>
          </w:tcPr>
          <w:p w14:paraId="67E8FA50">
            <w:pPr>
              <w:widowControl/>
              <w:spacing w:line="360" w:lineRule="auto"/>
              <w:jc w:val="center"/>
              <w:rPr>
                <w:rFonts w:hint="eastAsia"/>
                <w:kern w:val="0"/>
                <w:szCs w:val="21"/>
              </w:rPr>
            </w:pPr>
            <w:bookmarkStart w:id="567" w:name="OLE_LINK72"/>
            <w:r>
              <w:rPr>
                <w:rFonts w:hint="eastAsia"/>
                <w:kern w:val="0"/>
                <w:szCs w:val="21"/>
              </w:rPr>
              <w:t>投标人名称</w:t>
            </w:r>
            <w:bookmarkEnd w:id="567"/>
          </w:p>
        </w:tc>
        <w:tc>
          <w:tcPr>
            <w:tcW w:w="5997" w:type="dxa"/>
            <w:vAlign w:val="center"/>
          </w:tcPr>
          <w:p w14:paraId="6FD7BE7A">
            <w:pPr>
              <w:widowControl/>
              <w:spacing w:line="360" w:lineRule="auto"/>
              <w:jc w:val="center"/>
              <w:rPr>
                <w:rFonts w:hint="eastAsia"/>
                <w:kern w:val="0"/>
                <w:szCs w:val="21"/>
              </w:rPr>
            </w:pPr>
            <w:r>
              <w:rPr>
                <w:rFonts w:hint="eastAsia"/>
                <w:kern w:val="0"/>
                <w:szCs w:val="21"/>
              </w:rPr>
              <w:t>与营业执照（如有）一致</w:t>
            </w:r>
          </w:p>
        </w:tc>
      </w:tr>
      <w:tr w14:paraId="3313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746AD5E7">
            <w:pPr>
              <w:widowControl/>
              <w:spacing w:line="360" w:lineRule="auto"/>
              <w:jc w:val="center"/>
              <w:rPr>
                <w:rFonts w:hint="eastAsia"/>
                <w:kern w:val="0"/>
                <w:szCs w:val="21"/>
              </w:rPr>
            </w:pPr>
          </w:p>
        </w:tc>
        <w:tc>
          <w:tcPr>
            <w:tcW w:w="2431" w:type="dxa"/>
            <w:vAlign w:val="center"/>
          </w:tcPr>
          <w:p w14:paraId="419CFA40">
            <w:pPr>
              <w:widowControl/>
              <w:spacing w:line="360" w:lineRule="auto"/>
              <w:jc w:val="center"/>
              <w:rPr>
                <w:rFonts w:hint="eastAsia"/>
                <w:kern w:val="0"/>
                <w:szCs w:val="21"/>
              </w:rPr>
            </w:pPr>
            <w:bookmarkStart w:id="568" w:name="OLE_LINK73"/>
            <w:r>
              <w:rPr>
                <w:rFonts w:hint="eastAsia"/>
                <w:kern w:val="0"/>
                <w:szCs w:val="21"/>
              </w:rPr>
              <w:t>营业执照或其他证明材料</w:t>
            </w:r>
            <w:bookmarkEnd w:id="568"/>
          </w:p>
        </w:tc>
        <w:tc>
          <w:tcPr>
            <w:tcW w:w="5997" w:type="dxa"/>
            <w:vAlign w:val="center"/>
          </w:tcPr>
          <w:p w14:paraId="3E39427D">
            <w:pPr>
              <w:pStyle w:val="22"/>
              <w:spacing w:after="0" w:line="360" w:lineRule="auto"/>
              <w:ind w:left="0" w:leftChars="0" w:firstLine="0" w:firstLineChars="0"/>
              <w:rPr>
                <w:rFonts w:hint="eastAsia"/>
                <w:szCs w:val="21"/>
              </w:rPr>
            </w:pPr>
            <w:r>
              <w:rPr>
                <w:rFonts w:hint="eastAsia"/>
                <w:szCs w:val="21"/>
              </w:rPr>
              <w:t>投标人为企业（包括合伙企业）的，应提供有效的“营业执照”；</w:t>
            </w:r>
          </w:p>
          <w:p w14:paraId="35B89C10">
            <w:pPr>
              <w:pStyle w:val="22"/>
              <w:spacing w:after="0" w:line="360" w:lineRule="auto"/>
              <w:ind w:left="0" w:leftChars="0" w:firstLine="0" w:firstLineChars="0"/>
              <w:rPr>
                <w:rFonts w:hint="eastAsia"/>
                <w:szCs w:val="21"/>
              </w:rPr>
            </w:pPr>
            <w:r>
              <w:rPr>
                <w:rFonts w:hint="eastAsia"/>
                <w:szCs w:val="21"/>
              </w:rPr>
              <w:t>投标人为事业单位的，应提供有效的“事业单位法人证书”；</w:t>
            </w:r>
          </w:p>
          <w:p w14:paraId="0647E5D0">
            <w:pPr>
              <w:pStyle w:val="22"/>
              <w:spacing w:after="0" w:line="360" w:lineRule="auto"/>
              <w:ind w:left="0" w:leftChars="0" w:firstLine="0" w:firstLineChars="0"/>
              <w:rPr>
                <w:rFonts w:hint="eastAsia"/>
                <w:szCs w:val="21"/>
              </w:rPr>
            </w:pPr>
            <w:r>
              <w:rPr>
                <w:rFonts w:hint="eastAsia"/>
                <w:szCs w:val="21"/>
              </w:rPr>
              <w:t>投标人是非企业机构的，应提供有效的“执业许可证”“登记证书”等证明文件；</w:t>
            </w:r>
          </w:p>
          <w:p w14:paraId="0F48016E">
            <w:pPr>
              <w:pStyle w:val="22"/>
              <w:spacing w:after="0" w:line="360" w:lineRule="auto"/>
              <w:ind w:left="0" w:leftChars="0" w:firstLine="0" w:firstLineChars="0"/>
              <w:rPr>
                <w:rFonts w:hint="eastAsia"/>
                <w:szCs w:val="21"/>
              </w:rPr>
            </w:pPr>
            <w:r>
              <w:rPr>
                <w:rFonts w:hint="eastAsia"/>
                <w:szCs w:val="21"/>
              </w:rPr>
              <w:t>投标人是个体工商户的，应提供有效的“个体工商户营业执照”；</w:t>
            </w:r>
          </w:p>
          <w:p w14:paraId="586B9A86">
            <w:pPr>
              <w:pStyle w:val="22"/>
              <w:spacing w:after="0" w:line="360" w:lineRule="auto"/>
              <w:ind w:left="0" w:leftChars="0" w:firstLine="0" w:firstLineChars="0"/>
              <w:rPr>
                <w:rFonts w:hint="eastAsia"/>
                <w:kern w:val="0"/>
                <w:szCs w:val="21"/>
              </w:rPr>
            </w:pPr>
            <w:r>
              <w:rPr>
                <w:rFonts w:hint="eastAsia"/>
                <w:szCs w:val="21"/>
              </w:rPr>
              <w:t>投标人是自然人的，应提供有效的自然人身份证明。</w:t>
            </w:r>
          </w:p>
        </w:tc>
      </w:tr>
      <w:tr w14:paraId="49D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1C3A4442">
            <w:pPr>
              <w:widowControl/>
              <w:spacing w:line="360" w:lineRule="auto"/>
              <w:jc w:val="center"/>
              <w:rPr>
                <w:rFonts w:hint="eastAsia"/>
                <w:kern w:val="0"/>
                <w:szCs w:val="21"/>
              </w:rPr>
            </w:pPr>
          </w:p>
        </w:tc>
        <w:tc>
          <w:tcPr>
            <w:tcW w:w="2431" w:type="dxa"/>
            <w:vAlign w:val="center"/>
          </w:tcPr>
          <w:p w14:paraId="02595FE9">
            <w:pPr>
              <w:widowControl/>
              <w:spacing w:line="360" w:lineRule="auto"/>
              <w:jc w:val="center"/>
              <w:rPr>
                <w:rFonts w:hint="eastAsia"/>
                <w:kern w:val="0"/>
                <w:szCs w:val="21"/>
              </w:rPr>
            </w:pPr>
            <w:bookmarkStart w:id="569" w:name="OLE_LINK74"/>
            <w:r>
              <w:rPr>
                <w:rFonts w:hint="eastAsia"/>
                <w:kern w:val="0"/>
                <w:szCs w:val="21"/>
              </w:rPr>
              <w:t>信用记录</w:t>
            </w:r>
            <w:bookmarkEnd w:id="569"/>
          </w:p>
        </w:tc>
        <w:tc>
          <w:tcPr>
            <w:tcW w:w="5997" w:type="dxa"/>
            <w:vAlign w:val="center"/>
          </w:tcPr>
          <w:p w14:paraId="39C12F82">
            <w:pPr>
              <w:widowControl/>
              <w:spacing w:line="360" w:lineRule="auto"/>
              <w:jc w:val="center"/>
              <w:rPr>
                <w:rFonts w:hint="eastAsia"/>
                <w:kern w:val="0"/>
                <w:szCs w:val="21"/>
              </w:rPr>
            </w:pPr>
            <w:r>
              <w:rPr>
                <w:rFonts w:hint="eastAsia"/>
                <w:kern w:val="0"/>
                <w:szCs w:val="21"/>
              </w:rPr>
              <w:t>符合第二章“投标人须知前附表”第1.2.9项规定</w:t>
            </w:r>
          </w:p>
          <w:p w14:paraId="43485B1B">
            <w:pPr>
              <w:pStyle w:val="32"/>
              <w:spacing w:line="360" w:lineRule="auto"/>
              <w:jc w:val="center"/>
              <w:rPr>
                <w:rFonts w:hint="eastAsia" w:ascii="宋体" w:hAnsi="宋体" w:cs="宋体"/>
              </w:rPr>
            </w:pPr>
            <w:r>
              <w:rPr>
                <w:rFonts w:hint="eastAsia" w:ascii="宋体" w:hAnsi="宋体" w:cs="宋体"/>
                <w:b/>
                <w:bCs/>
                <w:sz w:val="21"/>
                <w:szCs w:val="21"/>
              </w:rPr>
              <w:t>以采购人或采购代理机构查询为准</w:t>
            </w:r>
          </w:p>
        </w:tc>
      </w:tr>
      <w:tr w14:paraId="6625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160EB870">
            <w:pPr>
              <w:widowControl/>
              <w:spacing w:line="360" w:lineRule="auto"/>
              <w:jc w:val="center"/>
              <w:rPr>
                <w:rFonts w:hint="eastAsia"/>
                <w:kern w:val="0"/>
                <w:szCs w:val="21"/>
              </w:rPr>
            </w:pPr>
          </w:p>
        </w:tc>
        <w:tc>
          <w:tcPr>
            <w:tcW w:w="2431" w:type="dxa"/>
            <w:vAlign w:val="center"/>
          </w:tcPr>
          <w:p w14:paraId="4DC65549">
            <w:pPr>
              <w:widowControl/>
              <w:spacing w:line="360" w:lineRule="auto"/>
              <w:jc w:val="center"/>
              <w:rPr>
                <w:rFonts w:hint="eastAsia"/>
                <w:kern w:val="0"/>
                <w:szCs w:val="21"/>
              </w:rPr>
            </w:pPr>
            <w:bookmarkStart w:id="570" w:name="OLE_LINK75"/>
            <w:r>
              <w:rPr>
                <w:rFonts w:hint="eastAsia"/>
                <w:kern w:val="0"/>
                <w:szCs w:val="21"/>
              </w:rPr>
              <w:t>财务报告</w:t>
            </w:r>
            <w:bookmarkEnd w:id="570"/>
          </w:p>
        </w:tc>
        <w:tc>
          <w:tcPr>
            <w:tcW w:w="5997" w:type="dxa"/>
            <w:vAlign w:val="center"/>
          </w:tcPr>
          <w:p w14:paraId="4CC2BEFD">
            <w:pPr>
              <w:widowControl/>
              <w:spacing w:line="360" w:lineRule="auto"/>
              <w:jc w:val="center"/>
              <w:rPr>
                <w:rFonts w:hint="eastAsia"/>
                <w:kern w:val="0"/>
                <w:szCs w:val="21"/>
              </w:rPr>
            </w:pPr>
            <w:r>
              <w:rPr>
                <w:rFonts w:hint="eastAsia"/>
                <w:kern w:val="0"/>
                <w:szCs w:val="21"/>
              </w:rPr>
              <w:t>符合第二章“投标人须知前附表”第1.2.9项规定</w:t>
            </w:r>
          </w:p>
        </w:tc>
      </w:tr>
      <w:tr w14:paraId="509C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54E46376">
            <w:pPr>
              <w:widowControl/>
              <w:spacing w:line="360" w:lineRule="auto"/>
              <w:jc w:val="center"/>
              <w:rPr>
                <w:rFonts w:hint="eastAsia"/>
                <w:kern w:val="0"/>
                <w:szCs w:val="21"/>
              </w:rPr>
            </w:pPr>
          </w:p>
        </w:tc>
        <w:tc>
          <w:tcPr>
            <w:tcW w:w="2431" w:type="dxa"/>
            <w:vAlign w:val="center"/>
          </w:tcPr>
          <w:p w14:paraId="58C88985">
            <w:pPr>
              <w:widowControl/>
              <w:spacing w:line="360" w:lineRule="auto"/>
              <w:jc w:val="center"/>
              <w:rPr>
                <w:rFonts w:hint="eastAsia"/>
                <w:kern w:val="0"/>
                <w:szCs w:val="21"/>
              </w:rPr>
            </w:pPr>
            <w:bookmarkStart w:id="571" w:name="OLE_LINK76"/>
            <w:r>
              <w:rPr>
                <w:rFonts w:hint="eastAsia"/>
                <w:kern w:val="0"/>
                <w:szCs w:val="21"/>
              </w:rPr>
              <w:t>纳税要求</w:t>
            </w:r>
            <w:bookmarkEnd w:id="571"/>
          </w:p>
        </w:tc>
        <w:tc>
          <w:tcPr>
            <w:tcW w:w="5997" w:type="dxa"/>
            <w:vAlign w:val="center"/>
          </w:tcPr>
          <w:p w14:paraId="2050A37C">
            <w:pPr>
              <w:widowControl/>
              <w:spacing w:line="360" w:lineRule="auto"/>
              <w:jc w:val="center"/>
              <w:rPr>
                <w:rFonts w:hint="eastAsia"/>
                <w:kern w:val="0"/>
                <w:szCs w:val="21"/>
              </w:rPr>
            </w:pPr>
            <w:r>
              <w:rPr>
                <w:rFonts w:hint="eastAsia"/>
                <w:kern w:val="0"/>
                <w:szCs w:val="21"/>
              </w:rPr>
              <w:t>符合第二章“投标人须知前附表”第1.2.9项规定</w:t>
            </w:r>
          </w:p>
        </w:tc>
      </w:tr>
      <w:tr w14:paraId="4FD1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24192CB3">
            <w:pPr>
              <w:widowControl/>
              <w:spacing w:line="360" w:lineRule="auto"/>
              <w:jc w:val="center"/>
              <w:rPr>
                <w:rFonts w:hint="eastAsia"/>
                <w:kern w:val="0"/>
                <w:szCs w:val="21"/>
              </w:rPr>
            </w:pPr>
          </w:p>
        </w:tc>
        <w:tc>
          <w:tcPr>
            <w:tcW w:w="2431" w:type="dxa"/>
            <w:vAlign w:val="center"/>
          </w:tcPr>
          <w:p w14:paraId="74D499CE">
            <w:pPr>
              <w:widowControl/>
              <w:spacing w:line="360" w:lineRule="auto"/>
              <w:jc w:val="center"/>
              <w:rPr>
                <w:rFonts w:hint="eastAsia"/>
                <w:kern w:val="0"/>
                <w:szCs w:val="21"/>
              </w:rPr>
            </w:pPr>
            <w:bookmarkStart w:id="572" w:name="OLE_LINK77"/>
            <w:r>
              <w:rPr>
                <w:rFonts w:hint="eastAsia"/>
                <w:kern w:val="0"/>
                <w:szCs w:val="21"/>
              </w:rPr>
              <w:t>社会保障资金要求</w:t>
            </w:r>
            <w:bookmarkEnd w:id="572"/>
          </w:p>
        </w:tc>
        <w:tc>
          <w:tcPr>
            <w:tcW w:w="5997" w:type="dxa"/>
            <w:vAlign w:val="center"/>
          </w:tcPr>
          <w:p w14:paraId="1B1D5851">
            <w:pPr>
              <w:widowControl/>
              <w:spacing w:line="360" w:lineRule="auto"/>
              <w:jc w:val="center"/>
              <w:rPr>
                <w:rFonts w:hint="eastAsia"/>
                <w:kern w:val="0"/>
                <w:szCs w:val="21"/>
              </w:rPr>
            </w:pPr>
            <w:r>
              <w:rPr>
                <w:rFonts w:hint="eastAsia"/>
                <w:kern w:val="0"/>
                <w:szCs w:val="21"/>
              </w:rPr>
              <w:t>符合第二章“投标人须知前附表”第1.2.9项规定</w:t>
            </w:r>
          </w:p>
        </w:tc>
      </w:tr>
      <w:tr w14:paraId="647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4253DF0D">
            <w:pPr>
              <w:widowControl/>
              <w:spacing w:line="360" w:lineRule="auto"/>
              <w:jc w:val="center"/>
              <w:rPr>
                <w:rFonts w:hint="eastAsia"/>
                <w:kern w:val="0"/>
                <w:szCs w:val="21"/>
              </w:rPr>
            </w:pPr>
          </w:p>
        </w:tc>
        <w:tc>
          <w:tcPr>
            <w:tcW w:w="2431" w:type="dxa"/>
            <w:vAlign w:val="center"/>
          </w:tcPr>
          <w:p w14:paraId="26A0CEAA">
            <w:pPr>
              <w:widowControl/>
              <w:spacing w:line="360" w:lineRule="auto"/>
              <w:jc w:val="center"/>
              <w:rPr>
                <w:rFonts w:hint="eastAsia"/>
                <w:kern w:val="0"/>
                <w:szCs w:val="21"/>
              </w:rPr>
            </w:pPr>
            <w:bookmarkStart w:id="573" w:name="OLE_LINK78"/>
            <w:r>
              <w:rPr>
                <w:rFonts w:hint="eastAsia"/>
                <w:kern w:val="0"/>
                <w:szCs w:val="21"/>
              </w:rPr>
              <w:t>具有履行合同所必需的设备和专业技术能力</w:t>
            </w:r>
            <w:bookmarkEnd w:id="573"/>
          </w:p>
        </w:tc>
        <w:tc>
          <w:tcPr>
            <w:tcW w:w="5997" w:type="dxa"/>
            <w:vAlign w:val="center"/>
          </w:tcPr>
          <w:p w14:paraId="02251A8A">
            <w:pPr>
              <w:widowControl/>
              <w:spacing w:line="360" w:lineRule="auto"/>
              <w:jc w:val="center"/>
              <w:rPr>
                <w:rFonts w:hint="eastAsia"/>
                <w:kern w:val="0"/>
                <w:szCs w:val="21"/>
              </w:rPr>
            </w:pPr>
            <w:r>
              <w:rPr>
                <w:rFonts w:hint="eastAsia"/>
                <w:kern w:val="0"/>
                <w:szCs w:val="21"/>
              </w:rPr>
              <w:t>符合第二章“投标人须知前附表”第1.2.9项规定</w:t>
            </w:r>
          </w:p>
        </w:tc>
      </w:tr>
      <w:tr w14:paraId="297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14:paraId="659606FB">
            <w:pPr>
              <w:widowControl/>
              <w:spacing w:line="360" w:lineRule="auto"/>
              <w:jc w:val="center"/>
              <w:rPr>
                <w:rFonts w:hint="eastAsia"/>
                <w:kern w:val="0"/>
                <w:szCs w:val="21"/>
              </w:rPr>
            </w:pPr>
          </w:p>
        </w:tc>
        <w:tc>
          <w:tcPr>
            <w:tcW w:w="2431" w:type="dxa"/>
            <w:vAlign w:val="center"/>
          </w:tcPr>
          <w:p w14:paraId="4796B1D6">
            <w:pPr>
              <w:widowControl/>
              <w:spacing w:line="360" w:lineRule="auto"/>
              <w:jc w:val="center"/>
              <w:rPr>
                <w:rFonts w:hint="eastAsia"/>
                <w:kern w:val="0"/>
                <w:szCs w:val="21"/>
              </w:rPr>
            </w:pPr>
            <w:bookmarkStart w:id="574" w:name="OLE_LINK79"/>
            <w:r>
              <w:rPr>
                <w:rFonts w:hint="eastAsia"/>
                <w:kern w:val="0"/>
                <w:szCs w:val="21"/>
              </w:rPr>
              <w:t>参加政府采购活动前三年内，在经营活动中没有重大违法记录</w:t>
            </w:r>
            <w:bookmarkEnd w:id="574"/>
          </w:p>
        </w:tc>
        <w:tc>
          <w:tcPr>
            <w:tcW w:w="5997" w:type="dxa"/>
            <w:vAlign w:val="center"/>
          </w:tcPr>
          <w:p w14:paraId="7B3132BC">
            <w:pPr>
              <w:widowControl/>
              <w:spacing w:line="360" w:lineRule="auto"/>
              <w:jc w:val="center"/>
              <w:rPr>
                <w:rFonts w:hint="eastAsia"/>
                <w:kern w:val="0"/>
                <w:szCs w:val="21"/>
              </w:rPr>
            </w:pPr>
            <w:r>
              <w:rPr>
                <w:rFonts w:hint="eastAsia"/>
                <w:kern w:val="0"/>
                <w:szCs w:val="21"/>
              </w:rPr>
              <w:t>符合第二章“投标人须知前附表”第1.2.9项规定</w:t>
            </w:r>
          </w:p>
        </w:tc>
      </w:tr>
    </w:tbl>
    <w:p w14:paraId="6CF6B763">
      <w:pPr>
        <w:spacing w:line="360" w:lineRule="auto"/>
        <w:rPr>
          <w:rFonts w:hint="eastAsia"/>
        </w:rPr>
      </w:pPr>
      <w:bookmarkStart w:id="575" w:name="_Toc23399"/>
      <w:bookmarkStart w:id="576" w:name="_Toc16607"/>
      <w:bookmarkStart w:id="577" w:name="_Toc16266"/>
      <w:bookmarkStart w:id="578" w:name="_Toc1301"/>
      <w:bookmarkStart w:id="579" w:name="_Toc2378"/>
      <w:bookmarkStart w:id="580" w:name="_Toc16293"/>
      <w:bookmarkStart w:id="581" w:name="_Toc465"/>
      <w:bookmarkStart w:id="582" w:name="_Toc21337"/>
      <w:bookmarkStart w:id="583" w:name="_Toc19241"/>
      <w:bookmarkStart w:id="584" w:name="_Toc25514"/>
    </w:p>
    <w:p w14:paraId="4FE64EB2">
      <w:pPr>
        <w:pStyle w:val="4"/>
        <w:numPr>
          <w:ilvl w:val="0"/>
          <w:numId w:val="15"/>
        </w:numPr>
        <w:rPr>
          <w:rFonts w:hint="eastAsia"/>
        </w:rPr>
      </w:pPr>
      <w:bookmarkStart w:id="585" w:name="_Toc6539"/>
      <w:bookmarkStart w:id="586" w:name="_Toc15430"/>
      <w:bookmarkStart w:id="587" w:name="_Toc11008"/>
      <w:r>
        <w:rPr>
          <w:rFonts w:hint="eastAsia"/>
          <w:sz w:val="24"/>
          <w:szCs w:val="24"/>
        </w:rPr>
        <w:t>资格审查</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165D4B6">
      <w:pPr>
        <w:spacing w:line="360" w:lineRule="auto"/>
        <w:ind w:firstLine="420" w:firstLineChars="200"/>
        <w:rPr>
          <w:rFonts w:hint="eastAsia"/>
        </w:rPr>
      </w:pPr>
      <w:r>
        <w:rPr>
          <w:rFonts w:hint="eastAsia"/>
        </w:rPr>
        <w:t>开标结束后，采购人或者采购代理机构应当依法对投标人的资格进行审查。</w:t>
      </w:r>
    </w:p>
    <w:p w14:paraId="4A9E1FFC">
      <w:pPr>
        <w:pStyle w:val="4"/>
        <w:numPr>
          <w:ilvl w:val="0"/>
          <w:numId w:val="15"/>
        </w:numPr>
        <w:rPr>
          <w:rFonts w:hint="eastAsia"/>
        </w:rPr>
      </w:pPr>
      <w:bookmarkStart w:id="588" w:name="_Toc11928"/>
      <w:bookmarkStart w:id="589" w:name="_Toc8582"/>
      <w:r>
        <w:rPr>
          <w:rFonts w:hint="eastAsia"/>
        </w:rPr>
        <w:t>资格审查标准</w:t>
      </w:r>
      <w:bookmarkEnd w:id="588"/>
      <w:bookmarkEnd w:id="589"/>
    </w:p>
    <w:p w14:paraId="2F3DE688">
      <w:pPr>
        <w:autoSpaceDE w:val="0"/>
        <w:autoSpaceDN w:val="0"/>
        <w:adjustRightInd w:val="0"/>
        <w:spacing w:line="360" w:lineRule="auto"/>
        <w:ind w:right="-20"/>
        <w:jc w:val="left"/>
        <w:rPr>
          <w:rFonts w:hint="eastAsia"/>
        </w:rPr>
      </w:pPr>
      <w:r>
        <w:rPr>
          <w:rFonts w:hint="eastAsia"/>
          <w:kern w:val="0"/>
          <w:szCs w:val="21"/>
        </w:rPr>
        <w:t xml:space="preserve">    资格审查标准：见资格审查前附表。</w:t>
      </w:r>
    </w:p>
    <w:p w14:paraId="74C1BD07">
      <w:pPr>
        <w:pStyle w:val="4"/>
        <w:numPr>
          <w:ilvl w:val="0"/>
          <w:numId w:val="15"/>
        </w:numPr>
        <w:rPr>
          <w:rFonts w:hint="eastAsia"/>
        </w:rPr>
      </w:pPr>
      <w:bookmarkStart w:id="590" w:name="_Toc19383"/>
      <w:bookmarkStart w:id="591" w:name="_Toc16031"/>
      <w:bookmarkStart w:id="592" w:name="_Toc2874"/>
      <w:bookmarkStart w:id="593" w:name="_Toc2029"/>
      <w:bookmarkStart w:id="594" w:name="_Toc21387"/>
      <w:bookmarkStart w:id="595" w:name="_Toc5940"/>
      <w:bookmarkStart w:id="596" w:name="_Toc32375"/>
      <w:bookmarkStart w:id="597" w:name="_Toc920"/>
      <w:bookmarkStart w:id="598" w:name="_Toc10180"/>
      <w:bookmarkStart w:id="599" w:name="_Toc14072"/>
      <w:bookmarkStart w:id="600" w:name="_Toc2259"/>
      <w:bookmarkStart w:id="601" w:name="_Toc13549"/>
      <w:bookmarkStart w:id="602" w:name="_Toc18436"/>
      <w:r>
        <w:rPr>
          <w:rFonts w:hint="eastAsia"/>
        </w:rPr>
        <w:t>资格审查程序</w:t>
      </w:r>
      <w:bookmarkEnd w:id="590"/>
      <w:bookmarkEnd w:id="591"/>
      <w:bookmarkEnd w:id="592"/>
      <w:bookmarkEnd w:id="593"/>
      <w:bookmarkEnd w:id="594"/>
      <w:bookmarkEnd w:id="595"/>
      <w:bookmarkEnd w:id="596"/>
      <w:bookmarkEnd w:id="597"/>
      <w:bookmarkEnd w:id="598"/>
      <w:bookmarkEnd w:id="599"/>
      <w:bookmarkEnd w:id="600"/>
      <w:bookmarkEnd w:id="601"/>
      <w:bookmarkEnd w:id="602"/>
    </w:p>
    <w:p w14:paraId="477DBCA3">
      <w:pPr>
        <w:autoSpaceDE w:val="0"/>
        <w:autoSpaceDN w:val="0"/>
        <w:adjustRightInd w:val="0"/>
        <w:spacing w:line="360" w:lineRule="auto"/>
        <w:ind w:right="40" w:firstLine="412" w:firstLineChars="200"/>
        <w:jc w:val="left"/>
        <w:rPr>
          <w:rFonts w:hint="eastAsia"/>
          <w:kern w:val="0"/>
          <w:szCs w:val="21"/>
        </w:rPr>
      </w:pPr>
      <w:r>
        <w:rPr>
          <w:rFonts w:hint="eastAsia"/>
          <w:spacing w:val="-2"/>
          <w:kern w:val="0"/>
          <w:szCs w:val="21"/>
        </w:rPr>
        <w:t>资格审查人员依</w:t>
      </w:r>
      <w:r>
        <w:rPr>
          <w:rFonts w:hint="eastAsia"/>
          <w:kern w:val="0"/>
          <w:szCs w:val="21"/>
        </w:rPr>
        <w:t>据本</w:t>
      </w:r>
      <w:r>
        <w:rPr>
          <w:rFonts w:hint="eastAsia"/>
          <w:spacing w:val="-2"/>
          <w:kern w:val="0"/>
          <w:szCs w:val="21"/>
        </w:rPr>
        <w:t>章</w:t>
      </w:r>
      <w:r>
        <w:rPr>
          <w:rFonts w:hint="eastAsia"/>
          <w:kern w:val="0"/>
          <w:szCs w:val="21"/>
        </w:rPr>
        <w:t>资格审查前附表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进</w:t>
      </w:r>
      <w:r>
        <w:rPr>
          <w:rFonts w:hint="eastAsia"/>
          <w:kern w:val="0"/>
          <w:szCs w:val="21"/>
        </w:rPr>
        <w:t>行</w:t>
      </w:r>
      <w:r>
        <w:rPr>
          <w:rFonts w:hint="eastAsia"/>
          <w:spacing w:val="-2"/>
          <w:kern w:val="0"/>
          <w:szCs w:val="21"/>
        </w:rPr>
        <w:t>资</w:t>
      </w:r>
      <w:r>
        <w:rPr>
          <w:rFonts w:hint="eastAsia"/>
          <w:kern w:val="0"/>
          <w:szCs w:val="21"/>
        </w:rPr>
        <w:t>格审查，以确定投标人是否具备投标资格，有一项不符合评审标准的，资格审查人员应当认定其</w:t>
      </w:r>
      <w:r>
        <w:rPr>
          <w:rFonts w:hint="eastAsia"/>
          <w:b/>
          <w:bCs/>
          <w:kern w:val="0"/>
          <w:szCs w:val="21"/>
        </w:rPr>
        <w:t>投标无效</w:t>
      </w:r>
      <w:r>
        <w:rPr>
          <w:rFonts w:hint="eastAsia"/>
          <w:kern w:val="0"/>
          <w:szCs w:val="21"/>
        </w:rPr>
        <w:t>，合格投标人不足3家的，不得评标。</w:t>
      </w:r>
    </w:p>
    <w:p w14:paraId="3DBAA63C">
      <w:pPr>
        <w:autoSpaceDE w:val="0"/>
        <w:autoSpaceDN w:val="0"/>
        <w:adjustRightInd w:val="0"/>
        <w:spacing w:line="360" w:lineRule="auto"/>
        <w:ind w:right="-20"/>
        <w:jc w:val="left"/>
        <w:rPr>
          <w:rFonts w:hint="eastAsia"/>
          <w:b/>
          <w:sz w:val="24"/>
          <w:u w:val="single"/>
        </w:rPr>
      </w:pPr>
      <w:bookmarkStart w:id="603" w:name="OLE_LINK33"/>
      <w:r>
        <w:rPr>
          <w:rFonts w:hint="eastAsia"/>
          <w:b/>
          <w:szCs w:val="21"/>
        </w:rPr>
        <w:t xml:space="preserve"> </w:t>
      </w:r>
      <w:bookmarkStart w:id="604" w:name="OLE_LINK34"/>
      <w:r>
        <w:rPr>
          <w:rFonts w:hint="eastAsia"/>
          <w:b/>
          <w:sz w:val="24"/>
          <w:u w:val="single"/>
        </w:rPr>
        <w:t>特别提醒：资格审查要求的所有内容须同时上传至河南省公共资源交易中心电子交易平台“资格审查材料”一栏中。</w:t>
      </w:r>
      <w:bookmarkEnd w:id="603"/>
      <w:r>
        <w:rPr>
          <w:rFonts w:hint="eastAsia"/>
          <w:b/>
          <w:sz w:val="24"/>
          <w:u w:val="single"/>
        </w:rPr>
        <w:t>未按照以上述要求上传的后果由投标人自行承担。</w:t>
      </w:r>
      <w:bookmarkEnd w:id="604"/>
    </w:p>
    <w:p w14:paraId="3C8830A7">
      <w:pPr>
        <w:pStyle w:val="2"/>
        <w:rPr>
          <w:rStyle w:val="30"/>
          <w:rFonts w:hint="eastAsia" w:ascii="宋体" w:hAnsi="宋体"/>
          <w:b/>
          <w:szCs w:val="22"/>
        </w:rPr>
      </w:pPr>
      <w:bookmarkStart w:id="605" w:name="_Toc11542"/>
      <w:bookmarkStart w:id="606" w:name="_Toc29893"/>
      <w:bookmarkStart w:id="607" w:name="_Toc8631"/>
      <w:bookmarkStart w:id="608" w:name="_Toc23230"/>
      <w:bookmarkStart w:id="609" w:name="_Toc8280"/>
      <w:bookmarkStart w:id="610" w:name="_Toc2610"/>
      <w:bookmarkStart w:id="611" w:name="_Toc21593"/>
      <w:bookmarkStart w:id="612" w:name="_Toc3310"/>
      <w:bookmarkStart w:id="613" w:name="_Toc19252"/>
      <w:bookmarkStart w:id="614" w:name="_Toc18033"/>
      <w:bookmarkStart w:id="615" w:name="_Toc12137"/>
      <w:r>
        <w:rPr>
          <w:rFonts w:hint="eastAsia" w:ascii="宋体" w:hAnsi="宋体"/>
          <w:szCs w:val="32"/>
        </w:rPr>
        <w:br w:type="page"/>
      </w:r>
      <w:bookmarkStart w:id="616" w:name="_Toc3653"/>
      <w:bookmarkStart w:id="617" w:name="_Toc10875"/>
      <w:bookmarkStart w:id="618" w:name="_Toc16698"/>
      <w:r>
        <w:rPr>
          <w:rFonts w:hint="eastAsia" w:ascii="宋体" w:hAnsi="宋体"/>
          <w:szCs w:val="32"/>
        </w:rPr>
        <w:t>第四章 评标办法（综合评分法）</w:t>
      </w:r>
      <w:bookmarkEnd w:id="616"/>
      <w:bookmarkEnd w:id="617"/>
      <w:bookmarkEnd w:id="618"/>
    </w:p>
    <w:p w14:paraId="4FBF3CE0">
      <w:pPr>
        <w:pStyle w:val="4"/>
        <w:jc w:val="center"/>
        <w:rPr>
          <w:rFonts w:hint="eastAsia"/>
          <w:sz w:val="24"/>
          <w:szCs w:val="24"/>
        </w:rPr>
      </w:pPr>
      <w:bookmarkStart w:id="619" w:name="_Toc23659"/>
      <w:bookmarkStart w:id="620" w:name="_Toc1534"/>
      <w:bookmarkStart w:id="621" w:name="_Toc3264"/>
      <w:bookmarkStart w:id="622" w:name="_Toc22649"/>
      <w:bookmarkStart w:id="623" w:name="_Toc16535"/>
      <w:bookmarkStart w:id="624" w:name="_Toc26967"/>
      <w:bookmarkStart w:id="625" w:name="_Toc6633"/>
      <w:bookmarkStart w:id="626" w:name="_Toc4734"/>
      <w:bookmarkStart w:id="627" w:name="_Toc13717"/>
      <w:bookmarkStart w:id="628" w:name="_Toc16950"/>
      <w:bookmarkStart w:id="629" w:name="_Toc14114"/>
      <w:bookmarkStart w:id="630" w:name="_Toc22753"/>
      <w:bookmarkStart w:id="631" w:name="_Toc12415"/>
      <w:r>
        <w:rPr>
          <w:rFonts w:hint="eastAsia"/>
          <w:sz w:val="24"/>
          <w:szCs w:val="24"/>
        </w:rPr>
        <w:t>评标办法前附表</w:t>
      </w:r>
      <w:bookmarkEnd w:id="619"/>
      <w:bookmarkEnd w:id="620"/>
      <w:bookmarkEnd w:id="621"/>
      <w:bookmarkEnd w:id="622"/>
      <w:bookmarkEnd w:id="623"/>
      <w:bookmarkEnd w:id="624"/>
      <w:bookmarkEnd w:id="625"/>
      <w:bookmarkEnd w:id="626"/>
      <w:bookmarkEnd w:id="627"/>
      <w:bookmarkEnd w:id="628"/>
      <w:bookmarkEnd w:id="629"/>
      <w:bookmarkEnd w:id="630"/>
      <w:bookmarkEnd w:id="631"/>
    </w:p>
    <w:tbl>
      <w:tblPr>
        <w:tblStyle w:val="23"/>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2242"/>
        <w:gridCol w:w="5687"/>
      </w:tblGrid>
      <w:tr w14:paraId="6D8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vAlign w:val="center"/>
          </w:tcPr>
          <w:p w14:paraId="768F3EC7">
            <w:pPr>
              <w:widowControl/>
              <w:spacing w:line="360" w:lineRule="auto"/>
              <w:jc w:val="center"/>
              <w:rPr>
                <w:rFonts w:hint="eastAsia"/>
                <w:szCs w:val="21"/>
              </w:rPr>
            </w:pPr>
            <w:r>
              <w:rPr>
                <w:rFonts w:hint="eastAsia"/>
                <w:szCs w:val="21"/>
              </w:rPr>
              <w:t>条款号</w:t>
            </w:r>
          </w:p>
        </w:tc>
        <w:tc>
          <w:tcPr>
            <w:tcW w:w="2242" w:type="dxa"/>
            <w:vAlign w:val="center"/>
          </w:tcPr>
          <w:p w14:paraId="70685D96">
            <w:pPr>
              <w:autoSpaceDE w:val="0"/>
              <w:autoSpaceDN w:val="0"/>
              <w:adjustRightInd w:val="0"/>
              <w:spacing w:line="360" w:lineRule="auto"/>
              <w:ind w:left="38" w:leftChars="18"/>
              <w:jc w:val="center"/>
              <w:rPr>
                <w:rFonts w:hint="eastAsia"/>
                <w:kern w:val="0"/>
                <w:szCs w:val="21"/>
              </w:rPr>
            </w:pPr>
            <w:r>
              <w:rPr>
                <w:rFonts w:hint="eastAsia"/>
                <w:kern w:val="0"/>
                <w:szCs w:val="21"/>
              </w:rPr>
              <w:t>评审因素</w:t>
            </w:r>
          </w:p>
        </w:tc>
        <w:tc>
          <w:tcPr>
            <w:tcW w:w="5687" w:type="dxa"/>
            <w:vAlign w:val="center"/>
          </w:tcPr>
          <w:p w14:paraId="6EDB4916">
            <w:pPr>
              <w:autoSpaceDE w:val="0"/>
              <w:autoSpaceDN w:val="0"/>
              <w:adjustRightInd w:val="0"/>
              <w:spacing w:line="360" w:lineRule="auto"/>
              <w:ind w:left="38" w:leftChars="18"/>
              <w:jc w:val="center"/>
              <w:rPr>
                <w:rFonts w:hint="eastAsia"/>
                <w:szCs w:val="21"/>
              </w:rPr>
            </w:pPr>
            <w:r>
              <w:rPr>
                <w:rFonts w:hint="eastAsia"/>
                <w:kern w:val="0"/>
                <w:szCs w:val="21"/>
              </w:rPr>
              <w:t>评审标准</w:t>
            </w:r>
          </w:p>
        </w:tc>
      </w:tr>
      <w:tr w14:paraId="19E0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vAlign w:val="center"/>
          </w:tcPr>
          <w:p w14:paraId="4095C5B5">
            <w:pPr>
              <w:widowControl/>
              <w:spacing w:line="360" w:lineRule="auto"/>
              <w:jc w:val="center"/>
              <w:rPr>
                <w:rFonts w:hint="eastAsia"/>
                <w:kern w:val="0"/>
                <w:szCs w:val="21"/>
              </w:rPr>
            </w:pPr>
            <w:r>
              <w:rPr>
                <w:rFonts w:hint="eastAsia"/>
                <w:kern w:val="0"/>
                <w:szCs w:val="21"/>
              </w:rPr>
              <w:t>2.1</w:t>
            </w:r>
          </w:p>
        </w:tc>
        <w:tc>
          <w:tcPr>
            <w:tcW w:w="1083" w:type="dxa"/>
            <w:vMerge w:val="restart"/>
            <w:vAlign w:val="center"/>
          </w:tcPr>
          <w:p w14:paraId="4CCE7683">
            <w:pPr>
              <w:widowControl/>
              <w:spacing w:line="360" w:lineRule="auto"/>
              <w:jc w:val="center"/>
              <w:rPr>
                <w:rFonts w:hint="eastAsia"/>
                <w:kern w:val="0"/>
                <w:szCs w:val="21"/>
              </w:rPr>
            </w:pPr>
            <w:r>
              <w:rPr>
                <w:rFonts w:hint="eastAsia"/>
                <w:szCs w:val="21"/>
              </w:rPr>
              <w:t>符合性审查</w:t>
            </w:r>
            <w:r>
              <w:rPr>
                <w:rFonts w:hint="eastAsia"/>
                <w:kern w:val="0"/>
                <w:szCs w:val="21"/>
              </w:rPr>
              <w:t>标准</w:t>
            </w:r>
          </w:p>
        </w:tc>
        <w:tc>
          <w:tcPr>
            <w:tcW w:w="2242" w:type="dxa"/>
            <w:vAlign w:val="center"/>
          </w:tcPr>
          <w:p w14:paraId="27A55D8D">
            <w:pPr>
              <w:widowControl/>
              <w:spacing w:line="360" w:lineRule="auto"/>
              <w:jc w:val="center"/>
              <w:rPr>
                <w:rFonts w:hint="eastAsia"/>
                <w:kern w:val="0"/>
                <w:szCs w:val="21"/>
              </w:rPr>
            </w:pPr>
            <w:bookmarkStart w:id="632" w:name="OLE_LINK61"/>
            <w:r>
              <w:rPr>
                <w:rFonts w:hint="eastAsia"/>
                <w:kern w:val="0"/>
                <w:szCs w:val="21"/>
              </w:rPr>
              <w:t>投标文件签署、盖章</w:t>
            </w:r>
            <w:bookmarkEnd w:id="632"/>
          </w:p>
        </w:tc>
        <w:tc>
          <w:tcPr>
            <w:tcW w:w="5687" w:type="dxa"/>
            <w:vAlign w:val="center"/>
          </w:tcPr>
          <w:p w14:paraId="0E02BB86">
            <w:pPr>
              <w:widowControl/>
              <w:spacing w:line="360" w:lineRule="auto"/>
              <w:jc w:val="center"/>
              <w:rPr>
                <w:rFonts w:hint="eastAsia"/>
                <w:kern w:val="0"/>
                <w:szCs w:val="21"/>
              </w:rPr>
            </w:pPr>
            <w:r>
              <w:rPr>
                <w:rFonts w:hint="eastAsia"/>
                <w:szCs w:val="21"/>
              </w:rPr>
              <w:t>投标文件按招标文件要求签署、盖章</w:t>
            </w:r>
          </w:p>
        </w:tc>
      </w:tr>
      <w:tr w14:paraId="1677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5D5525E6">
            <w:pPr>
              <w:widowControl/>
              <w:spacing w:line="360" w:lineRule="auto"/>
              <w:jc w:val="center"/>
              <w:rPr>
                <w:rFonts w:hint="eastAsia"/>
                <w:kern w:val="0"/>
                <w:szCs w:val="21"/>
              </w:rPr>
            </w:pPr>
          </w:p>
        </w:tc>
        <w:tc>
          <w:tcPr>
            <w:tcW w:w="1083" w:type="dxa"/>
            <w:vMerge w:val="continue"/>
            <w:vAlign w:val="center"/>
          </w:tcPr>
          <w:p w14:paraId="269BD8CD">
            <w:pPr>
              <w:widowControl/>
              <w:spacing w:line="360" w:lineRule="auto"/>
              <w:jc w:val="center"/>
              <w:rPr>
                <w:rFonts w:hint="eastAsia"/>
                <w:kern w:val="0"/>
                <w:szCs w:val="21"/>
              </w:rPr>
            </w:pPr>
          </w:p>
        </w:tc>
        <w:tc>
          <w:tcPr>
            <w:tcW w:w="2242" w:type="dxa"/>
            <w:vAlign w:val="center"/>
          </w:tcPr>
          <w:p w14:paraId="43D8E7B2">
            <w:pPr>
              <w:widowControl/>
              <w:spacing w:line="360" w:lineRule="auto"/>
              <w:jc w:val="center"/>
              <w:rPr>
                <w:rFonts w:hint="eastAsia"/>
                <w:kern w:val="0"/>
                <w:szCs w:val="21"/>
              </w:rPr>
            </w:pPr>
            <w:bookmarkStart w:id="633" w:name="OLE_LINK62"/>
            <w:r>
              <w:rPr>
                <w:rFonts w:hint="eastAsia"/>
                <w:kern w:val="0"/>
                <w:szCs w:val="21"/>
              </w:rPr>
              <w:t>投标承诺函</w:t>
            </w:r>
            <w:bookmarkEnd w:id="633"/>
          </w:p>
        </w:tc>
        <w:tc>
          <w:tcPr>
            <w:tcW w:w="5687" w:type="dxa"/>
            <w:vAlign w:val="center"/>
          </w:tcPr>
          <w:p w14:paraId="733D6C7B">
            <w:pPr>
              <w:widowControl/>
              <w:spacing w:line="360" w:lineRule="auto"/>
              <w:jc w:val="center"/>
              <w:rPr>
                <w:rFonts w:hint="eastAsia"/>
                <w:kern w:val="0"/>
                <w:szCs w:val="21"/>
              </w:rPr>
            </w:pPr>
            <w:r>
              <w:rPr>
                <w:rFonts w:hint="eastAsia"/>
                <w:kern w:val="0"/>
                <w:szCs w:val="21"/>
              </w:rPr>
              <w:t>按照招标文件的规定提交投标承诺函</w:t>
            </w:r>
          </w:p>
        </w:tc>
      </w:tr>
      <w:tr w14:paraId="6D43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05B03190">
            <w:pPr>
              <w:widowControl/>
              <w:spacing w:line="360" w:lineRule="auto"/>
              <w:jc w:val="center"/>
              <w:rPr>
                <w:rFonts w:hint="eastAsia"/>
                <w:kern w:val="0"/>
                <w:szCs w:val="21"/>
              </w:rPr>
            </w:pPr>
          </w:p>
        </w:tc>
        <w:tc>
          <w:tcPr>
            <w:tcW w:w="1083" w:type="dxa"/>
            <w:vMerge w:val="continue"/>
            <w:vAlign w:val="center"/>
          </w:tcPr>
          <w:p w14:paraId="536A1D67">
            <w:pPr>
              <w:widowControl/>
              <w:spacing w:line="360" w:lineRule="auto"/>
              <w:jc w:val="center"/>
              <w:rPr>
                <w:rFonts w:hint="eastAsia"/>
                <w:kern w:val="0"/>
                <w:szCs w:val="21"/>
              </w:rPr>
            </w:pPr>
          </w:p>
        </w:tc>
        <w:tc>
          <w:tcPr>
            <w:tcW w:w="2242" w:type="dxa"/>
            <w:vAlign w:val="center"/>
          </w:tcPr>
          <w:p w14:paraId="28F6EC2F">
            <w:pPr>
              <w:widowControl/>
              <w:spacing w:line="360" w:lineRule="auto"/>
              <w:jc w:val="center"/>
              <w:rPr>
                <w:rFonts w:hint="eastAsia"/>
                <w:kern w:val="0"/>
                <w:szCs w:val="21"/>
              </w:rPr>
            </w:pPr>
            <w:bookmarkStart w:id="634" w:name="OLE_LINK63"/>
            <w:r>
              <w:rPr>
                <w:rFonts w:hint="eastAsia"/>
                <w:kern w:val="0"/>
                <w:szCs w:val="21"/>
              </w:rPr>
              <w:t>报价唯一</w:t>
            </w:r>
            <w:bookmarkEnd w:id="634"/>
          </w:p>
        </w:tc>
        <w:tc>
          <w:tcPr>
            <w:tcW w:w="5687" w:type="dxa"/>
            <w:vAlign w:val="center"/>
          </w:tcPr>
          <w:p w14:paraId="23CF92E7">
            <w:pPr>
              <w:widowControl/>
              <w:spacing w:line="360" w:lineRule="auto"/>
              <w:jc w:val="center"/>
              <w:rPr>
                <w:rFonts w:hint="eastAsia"/>
                <w:kern w:val="0"/>
                <w:szCs w:val="21"/>
              </w:rPr>
            </w:pPr>
            <w:r>
              <w:rPr>
                <w:rFonts w:hint="eastAsia"/>
                <w:kern w:val="0"/>
                <w:szCs w:val="21"/>
              </w:rPr>
              <w:t>只能有一个有效报价</w:t>
            </w:r>
          </w:p>
        </w:tc>
      </w:tr>
      <w:tr w14:paraId="0DDF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50CD4D0C">
            <w:pPr>
              <w:widowControl/>
              <w:spacing w:line="360" w:lineRule="auto"/>
              <w:jc w:val="center"/>
              <w:rPr>
                <w:rFonts w:hint="eastAsia"/>
                <w:kern w:val="0"/>
                <w:szCs w:val="21"/>
              </w:rPr>
            </w:pPr>
          </w:p>
        </w:tc>
        <w:tc>
          <w:tcPr>
            <w:tcW w:w="1083" w:type="dxa"/>
            <w:vMerge w:val="continue"/>
            <w:vAlign w:val="center"/>
          </w:tcPr>
          <w:p w14:paraId="6F119A67">
            <w:pPr>
              <w:widowControl/>
              <w:spacing w:line="360" w:lineRule="auto"/>
              <w:jc w:val="center"/>
              <w:rPr>
                <w:rFonts w:hint="eastAsia"/>
                <w:kern w:val="0"/>
                <w:szCs w:val="21"/>
              </w:rPr>
            </w:pPr>
          </w:p>
        </w:tc>
        <w:tc>
          <w:tcPr>
            <w:tcW w:w="2242" w:type="dxa"/>
            <w:vAlign w:val="center"/>
          </w:tcPr>
          <w:p w14:paraId="115D417B">
            <w:pPr>
              <w:widowControl/>
              <w:spacing w:line="360" w:lineRule="auto"/>
              <w:jc w:val="center"/>
              <w:rPr>
                <w:rFonts w:hint="eastAsia"/>
                <w:kern w:val="0"/>
                <w:szCs w:val="21"/>
              </w:rPr>
            </w:pPr>
            <w:bookmarkStart w:id="635" w:name="OLE_LINK64"/>
            <w:r>
              <w:rPr>
                <w:rFonts w:hint="eastAsia"/>
                <w:kern w:val="0"/>
                <w:szCs w:val="21"/>
              </w:rPr>
              <w:t>投标报价</w:t>
            </w:r>
            <w:bookmarkEnd w:id="635"/>
          </w:p>
        </w:tc>
        <w:tc>
          <w:tcPr>
            <w:tcW w:w="5687" w:type="dxa"/>
            <w:vAlign w:val="center"/>
          </w:tcPr>
          <w:p w14:paraId="41A5BA10">
            <w:pPr>
              <w:widowControl/>
              <w:spacing w:line="360" w:lineRule="auto"/>
              <w:jc w:val="center"/>
              <w:rPr>
                <w:rFonts w:hint="eastAsia"/>
                <w:kern w:val="0"/>
                <w:szCs w:val="21"/>
              </w:rPr>
            </w:pPr>
            <w:r>
              <w:rPr>
                <w:rFonts w:hint="eastAsia"/>
                <w:kern w:val="0"/>
                <w:szCs w:val="21"/>
              </w:rPr>
              <w:t>报价未超过招标文件中规定的预算金额或者最高限价</w:t>
            </w:r>
          </w:p>
        </w:tc>
      </w:tr>
      <w:tr w14:paraId="0B1D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60FBC880">
            <w:pPr>
              <w:widowControl/>
              <w:spacing w:line="360" w:lineRule="auto"/>
              <w:jc w:val="center"/>
              <w:rPr>
                <w:rFonts w:hint="eastAsia"/>
                <w:kern w:val="0"/>
                <w:szCs w:val="21"/>
              </w:rPr>
            </w:pPr>
          </w:p>
        </w:tc>
        <w:tc>
          <w:tcPr>
            <w:tcW w:w="1083" w:type="dxa"/>
            <w:vMerge w:val="continue"/>
            <w:vAlign w:val="center"/>
          </w:tcPr>
          <w:p w14:paraId="3647B19D">
            <w:pPr>
              <w:widowControl/>
              <w:spacing w:line="360" w:lineRule="auto"/>
              <w:jc w:val="center"/>
              <w:rPr>
                <w:rFonts w:hint="eastAsia"/>
                <w:kern w:val="0"/>
                <w:szCs w:val="21"/>
              </w:rPr>
            </w:pPr>
          </w:p>
        </w:tc>
        <w:tc>
          <w:tcPr>
            <w:tcW w:w="2242" w:type="dxa"/>
            <w:vAlign w:val="center"/>
          </w:tcPr>
          <w:p w14:paraId="7775A913">
            <w:pPr>
              <w:widowControl/>
              <w:spacing w:line="360" w:lineRule="auto"/>
              <w:jc w:val="center"/>
              <w:rPr>
                <w:rFonts w:hint="eastAsia"/>
                <w:kern w:val="0"/>
                <w:szCs w:val="21"/>
              </w:rPr>
            </w:pPr>
            <w:bookmarkStart w:id="636" w:name="OLE_LINK65"/>
            <w:r>
              <w:rPr>
                <w:rFonts w:hint="eastAsia"/>
                <w:kern w:val="0"/>
                <w:szCs w:val="21"/>
              </w:rPr>
              <w:t>投标内容</w:t>
            </w:r>
            <w:bookmarkEnd w:id="636"/>
          </w:p>
        </w:tc>
        <w:tc>
          <w:tcPr>
            <w:tcW w:w="5687" w:type="dxa"/>
            <w:vAlign w:val="center"/>
          </w:tcPr>
          <w:p w14:paraId="77E44452">
            <w:pPr>
              <w:widowControl/>
              <w:spacing w:line="360" w:lineRule="auto"/>
              <w:jc w:val="center"/>
              <w:rPr>
                <w:rFonts w:hint="eastAsia"/>
                <w:kern w:val="0"/>
                <w:szCs w:val="21"/>
              </w:rPr>
            </w:pPr>
            <w:r>
              <w:rPr>
                <w:rFonts w:hint="eastAsia"/>
                <w:kern w:val="0"/>
                <w:szCs w:val="21"/>
              </w:rPr>
              <w:t>符合第二章“投标人须知前附表”第1.2.4项规定</w:t>
            </w:r>
          </w:p>
        </w:tc>
      </w:tr>
      <w:tr w14:paraId="1AC1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17E253D1">
            <w:pPr>
              <w:widowControl/>
              <w:spacing w:line="360" w:lineRule="auto"/>
              <w:jc w:val="center"/>
              <w:rPr>
                <w:rFonts w:hint="eastAsia"/>
                <w:kern w:val="0"/>
                <w:szCs w:val="21"/>
              </w:rPr>
            </w:pPr>
          </w:p>
        </w:tc>
        <w:tc>
          <w:tcPr>
            <w:tcW w:w="1083" w:type="dxa"/>
            <w:vMerge w:val="continue"/>
            <w:vAlign w:val="center"/>
          </w:tcPr>
          <w:p w14:paraId="60B63E9C">
            <w:pPr>
              <w:widowControl/>
              <w:spacing w:line="360" w:lineRule="auto"/>
              <w:jc w:val="center"/>
              <w:rPr>
                <w:rFonts w:hint="eastAsia"/>
                <w:kern w:val="0"/>
                <w:szCs w:val="21"/>
              </w:rPr>
            </w:pPr>
          </w:p>
        </w:tc>
        <w:tc>
          <w:tcPr>
            <w:tcW w:w="2242" w:type="dxa"/>
            <w:vAlign w:val="center"/>
          </w:tcPr>
          <w:p w14:paraId="4A8CBDAA">
            <w:pPr>
              <w:widowControl/>
              <w:spacing w:line="360" w:lineRule="auto"/>
              <w:jc w:val="center"/>
              <w:rPr>
                <w:rFonts w:hint="eastAsia"/>
                <w:kern w:val="0"/>
                <w:szCs w:val="21"/>
              </w:rPr>
            </w:pPr>
            <w:r>
              <w:rPr>
                <w:rFonts w:hint="eastAsia"/>
                <w:kern w:val="0"/>
                <w:szCs w:val="21"/>
              </w:rPr>
              <w:t>质保期</w:t>
            </w:r>
          </w:p>
        </w:tc>
        <w:tc>
          <w:tcPr>
            <w:tcW w:w="5687" w:type="dxa"/>
            <w:vAlign w:val="center"/>
          </w:tcPr>
          <w:p w14:paraId="1454F82E">
            <w:pPr>
              <w:widowControl/>
              <w:spacing w:line="360" w:lineRule="auto"/>
              <w:jc w:val="center"/>
              <w:rPr>
                <w:rFonts w:hint="eastAsia"/>
                <w:kern w:val="0"/>
                <w:szCs w:val="21"/>
              </w:rPr>
            </w:pPr>
            <w:r>
              <w:rPr>
                <w:rFonts w:hint="eastAsia"/>
                <w:kern w:val="0"/>
                <w:szCs w:val="21"/>
              </w:rPr>
              <w:t>符合第二章“投标人须知前附表”第1.2.6项规定</w:t>
            </w:r>
          </w:p>
        </w:tc>
      </w:tr>
      <w:tr w14:paraId="7F1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13F86E75">
            <w:pPr>
              <w:widowControl/>
              <w:spacing w:line="360" w:lineRule="auto"/>
              <w:jc w:val="center"/>
              <w:rPr>
                <w:rFonts w:hint="eastAsia"/>
                <w:kern w:val="0"/>
                <w:szCs w:val="21"/>
              </w:rPr>
            </w:pPr>
          </w:p>
        </w:tc>
        <w:tc>
          <w:tcPr>
            <w:tcW w:w="1083" w:type="dxa"/>
            <w:vMerge w:val="continue"/>
            <w:vAlign w:val="center"/>
          </w:tcPr>
          <w:p w14:paraId="3CB236A0">
            <w:pPr>
              <w:widowControl/>
              <w:spacing w:line="360" w:lineRule="auto"/>
              <w:jc w:val="center"/>
              <w:rPr>
                <w:rFonts w:hint="eastAsia"/>
                <w:kern w:val="0"/>
                <w:szCs w:val="21"/>
              </w:rPr>
            </w:pPr>
          </w:p>
        </w:tc>
        <w:tc>
          <w:tcPr>
            <w:tcW w:w="2242" w:type="dxa"/>
            <w:vAlign w:val="center"/>
          </w:tcPr>
          <w:p w14:paraId="1BE673D7">
            <w:pPr>
              <w:widowControl/>
              <w:spacing w:line="360" w:lineRule="auto"/>
              <w:jc w:val="center"/>
              <w:rPr>
                <w:rFonts w:hint="eastAsia"/>
                <w:kern w:val="0"/>
                <w:szCs w:val="21"/>
              </w:rPr>
            </w:pPr>
            <w:bookmarkStart w:id="637" w:name="OLE_LINK67"/>
            <w:r>
              <w:rPr>
                <w:rFonts w:hint="eastAsia"/>
                <w:kern w:val="0"/>
                <w:szCs w:val="21"/>
              </w:rPr>
              <w:t>服务地点</w:t>
            </w:r>
            <w:bookmarkEnd w:id="637"/>
          </w:p>
        </w:tc>
        <w:tc>
          <w:tcPr>
            <w:tcW w:w="5687" w:type="dxa"/>
            <w:vAlign w:val="center"/>
          </w:tcPr>
          <w:p w14:paraId="72F6BF2B">
            <w:pPr>
              <w:widowControl/>
              <w:spacing w:line="360" w:lineRule="auto"/>
              <w:jc w:val="center"/>
              <w:rPr>
                <w:rFonts w:hint="eastAsia"/>
                <w:kern w:val="0"/>
                <w:szCs w:val="21"/>
              </w:rPr>
            </w:pPr>
            <w:r>
              <w:rPr>
                <w:rFonts w:hint="eastAsia"/>
                <w:kern w:val="0"/>
                <w:szCs w:val="21"/>
              </w:rPr>
              <w:t>符合第二章“投标人须知前附表”第1.2.7项规定</w:t>
            </w:r>
          </w:p>
        </w:tc>
      </w:tr>
      <w:tr w14:paraId="3098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3FBF42A5">
            <w:pPr>
              <w:widowControl/>
              <w:spacing w:line="360" w:lineRule="auto"/>
              <w:jc w:val="center"/>
              <w:rPr>
                <w:rFonts w:hint="eastAsia"/>
                <w:kern w:val="0"/>
                <w:szCs w:val="21"/>
              </w:rPr>
            </w:pPr>
          </w:p>
        </w:tc>
        <w:tc>
          <w:tcPr>
            <w:tcW w:w="1083" w:type="dxa"/>
            <w:vMerge w:val="continue"/>
            <w:vAlign w:val="center"/>
          </w:tcPr>
          <w:p w14:paraId="276C8265">
            <w:pPr>
              <w:widowControl/>
              <w:spacing w:line="360" w:lineRule="auto"/>
              <w:jc w:val="center"/>
              <w:rPr>
                <w:rFonts w:hint="eastAsia"/>
                <w:kern w:val="0"/>
                <w:szCs w:val="21"/>
              </w:rPr>
            </w:pPr>
          </w:p>
        </w:tc>
        <w:tc>
          <w:tcPr>
            <w:tcW w:w="2242" w:type="dxa"/>
            <w:vAlign w:val="center"/>
          </w:tcPr>
          <w:p w14:paraId="08D316FD">
            <w:pPr>
              <w:widowControl/>
              <w:spacing w:line="360" w:lineRule="auto"/>
              <w:jc w:val="center"/>
              <w:rPr>
                <w:rFonts w:hint="eastAsia"/>
                <w:kern w:val="0"/>
                <w:szCs w:val="21"/>
              </w:rPr>
            </w:pPr>
            <w:bookmarkStart w:id="638" w:name="OLE_LINK68"/>
            <w:r>
              <w:rPr>
                <w:rFonts w:hint="eastAsia"/>
                <w:kern w:val="0"/>
                <w:szCs w:val="21"/>
              </w:rPr>
              <w:t>服务标准</w:t>
            </w:r>
            <w:bookmarkEnd w:id="638"/>
          </w:p>
        </w:tc>
        <w:tc>
          <w:tcPr>
            <w:tcW w:w="5687" w:type="dxa"/>
            <w:vAlign w:val="center"/>
          </w:tcPr>
          <w:p w14:paraId="2525A787">
            <w:pPr>
              <w:widowControl/>
              <w:spacing w:line="360" w:lineRule="auto"/>
              <w:jc w:val="center"/>
              <w:rPr>
                <w:rFonts w:hint="eastAsia"/>
                <w:kern w:val="0"/>
                <w:szCs w:val="21"/>
              </w:rPr>
            </w:pPr>
            <w:r>
              <w:rPr>
                <w:rFonts w:hint="eastAsia"/>
                <w:kern w:val="0"/>
                <w:szCs w:val="21"/>
              </w:rPr>
              <w:t>符合第二章“投标人须知前附表”第1.2.8项规定</w:t>
            </w:r>
          </w:p>
        </w:tc>
      </w:tr>
      <w:tr w14:paraId="5C50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6A7FA6E4">
            <w:pPr>
              <w:widowControl/>
              <w:spacing w:line="360" w:lineRule="auto"/>
              <w:jc w:val="center"/>
              <w:rPr>
                <w:rFonts w:hint="eastAsia"/>
                <w:kern w:val="0"/>
                <w:szCs w:val="21"/>
              </w:rPr>
            </w:pPr>
          </w:p>
        </w:tc>
        <w:tc>
          <w:tcPr>
            <w:tcW w:w="1083" w:type="dxa"/>
            <w:vMerge w:val="continue"/>
            <w:vAlign w:val="center"/>
          </w:tcPr>
          <w:p w14:paraId="3E325D62">
            <w:pPr>
              <w:widowControl/>
              <w:spacing w:line="360" w:lineRule="auto"/>
              <w:jc w:val="center"/>
              <w:rPr>
                <w:rFonts w:hint="eastAsia"/>
                <w:kern w:val="0"/>
                <w:szCs w:val="21"/>
              </w:rPr>
            </w:pPr>
          </w:p>
        </w:tc>
        <w:tc>
          <w:tcPr>
            <w:tcW w:w="2242" w:type="dxa"/>
            <w:vAlign w:val="center"/>
          </w:tcPr>
          <w:p w14:paraId="2D35494D">
            <w:pPr>
              <w:widowControl/>
              <w:spacing w:line="360" w:lineRule="auto"/>
              <w:jc w:val="center"/>
              <w:rPr>
                <w:rFonts w:hint="eastAsia"/>
                <w:kern w:val="0"/>
                <w:szCs w:val="21"/>
              </w:rPr>
            </w:pPr>
            <w:bookmarkStart w:id="639" w:name="OLE_LINK69"/>
            <w:r>
              <w:rPr>
                <w:rFonts w:hint="eastAsia"/>
                <w:kern w:val="0"/>
                <w:szCs w:val="21"/>
              </w:rPr>
              <w:t>投标有效期</w:t>
            </w:r>
            <w:bookmarkEnd w:id="639"/>
          </w:p>
        </w:tc>
        <w:tc>
          <w:tcPr>
            <w:tcW w:w="5687" w:type="dxa"/>
            <w:vAlign w:val="center"/>
          </w:tcPr>
          <w:p w14:paraId="7049DA7F">
            <w:pPr>
              <w:widowControl/>
              <w:spacing w:line="360" w:lineRule="auto"/>
              <w:jc w:val="center"/>
              <w:rPr>
                <w:rFonts w:hint="eastAsia"/>
                <w:kern w:val="0"/>
                <w:szCs w:val="21"/>
              </w:rPr>
            </w:pPr>
            <w:r>
              <w:rPr>
                <w:rFonts w:hint="eastAsia"/>
                <w:kern w:val="0"/>
                <w:szCs w:val="21"/>
              </w:rPr>
              <w:t>符合第二章“投标人须知前附表”第3.6.1项规定</w:t>
            </w:r>
          </w:p>
        </w:tc>
      </w:tr>
      <w:tr w14:paraId="166C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0D64E726">
            <w:pPr>
              <w:widowControl/>
              <w:spacing w:line="360" w:lineRule="auto"/>
              <w:jc w:val="center"/>
              <w:rPr>
                <w:rFonts w:hint="eastAsia"/>
                <w:kern w:val="0"/>
                <w:szCs w:val="21"/>
              </w:rPr>
            </w:pPr>
          </w:p>
        </w:tc>
        <w:tc>
          <w:tcPr>
            <w:tcW w:w="1083" w:type="dxa"/>
            <w:vMerge w:val="continue"/>
            <w:vAlign w:val="center"/>
          </w:tcPr>
          <w:p w14:paraId="730450CD">
            <w:pPr>
              <w:widowControl/>
              <w:spacing w:line="360" w:lineRule="auto"/>
              <w:jc w:val="center"/>
              <w:rPr>
                <w:rFonts w:hint="eastAsia"/>
                <w:kern w:val="0"/>
                <w:szCs w:val="21"/>
              </w:rPr>
            </w:pPr>
          </w:p>
        </w:tc>
        <w:tc>
          <w:tcPr>
            <w:tcW w:w="2242" w:type="dxa"/>
            <w:vAlign w:val="center"/>
          </w:tcPr>
          <w:p w14:paraId="079CCAED">
            <w:pPr>
              <w:widowControl/>
              <w:spacing w:line="360" w:lineRule="auto"/>
              <w:jc w:val="center"/>
              <w:rPr>
                <w:rFonts w:hint="eastAsia"/>
                <w:kern w:val="0"/>
                <w:szCs w:val="21"/>
              </w:rPr>
            </w:pPr>
            <w:r>
              <w:rPr>
                <w:rFonts w:hint="eastAsia"/>
                <w:szCs w:val="21"/>
              </w:rPr>
              <w:t>联合体投标协议书（联合体投标须提供）</w:t>
            </w:r>
          </w:p>
        </w:tc>
        <w:tc>
          <w:tcPr>
            <w:tcW w:w="5687" w:type="dxa"/>
            <w:vAlign w:val="center"/>
          </w:tcPr>
          <w:p w14:paraId="2521A2B7">
            <w:pPr>
              <w:widowControl/>
              <w:spacing w:line="360" w:lineRule="auto"/>
              <w:jc w:val="center"/>
              <w:rPr>
                <w:rFonts w:hint="eastAsia"/>
                <w:kern w:val="0"/>
                <w:szCs w:val="21"/>
              </w:rPr>
            </w:pPr>
            <w:r>
              <w:rPr>
                <w:rFonts w:hint="eastAsia"/>
                <w:kern w:val="0"/>
                <w:szCs w:val="21"/>
              </w:rPr>
              <w:t>具备有效的“</w:t>
            </w:r>
            <w:r>
              <w:rPr>
                <w:rFonts w:hint="eastAsia"/>
                <w:szCs w:val="21"/>
              </w:rPr>
              <w:t>联合体投标协议书”</w:t>
            </w:r>
          </w:p>
        </w:tc>
      </w:tr>
      <w:tr w14:paraId="2E2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vMerge w:val="continue"/>
            <w:vAlign w:val="center"/>
          </w:tcPr>
          <w:p w14:paraId="4CD31EF4">
            <w:pPr>
              <w:widowControl/>
              <w:spacing w:line="360" w:lineRule="auto"/>
              <w:jc w:val="center"/>
              <w:rPr>
                <w:rFonts w:hint="eastAsia"/>
                <w:kern w:val="0"/>
                <w:szCs w:val="21"/>
              </w:rPr>
            </w:pPr>
          </w:p>
        </w:tc>
        <w:tc>
          <w:tcPr>
            <w:tcW w:w="1083" w:type="dxa"/>
            <w:vMerge w:val="continue"/>
            <w:vAlign w:val="center"/>
          </w:tcPr>
          <w:p w14:paraId="5A574C35">
            <w:pPr>
              <w:widowControl/>
              <w:spacing w:line="360" w:lineRule="auto"/>
              <w:jc w:val="center"/>
              <w:rPr>
                <w:rFonts w:hint="eastAsia"/>
                <w:kern w:val="0"/>
                <w:szCs w:val="21"/>
              </w:rPr>
            </w:pPr>
          </w:p>
        </w:tc>
        <w:tc>
          <w:tcPr>
            <w:tcW w:w="2242" w:type="dxa"/>
            <w:vAlign w:val="center"/>
          </w:tcPr>
          <w:p w14:paraId="621377BA">
            <w:pPr>
              <w:widowControl/>
              <w:spacing w:line="360" w:lineRule="auto"/>
              <w:jc w:val="center"/>
              <w:rPr>
                <w:rFonts w:hint="eastAsia"/>
                <w:szCs w:val="21"/>
              </w:rPr>
            </w:pPr>
            <w:bookmarkStart w:id="640" w:name="OLE_LINK71"/>
            <w:r>
              <w:rPr>
                <w:rFonts w:hint="eastAsia"/>
                <w:szCs w:val="21"/>
              </w:rPr>
              <w:t>其他要求</w:t>
            </w:r>
            <w:bookmarkEnd w:id="640"/>
          </w:p>
        </w:tc>
        <w:tc>
          <w:tcPr>
            <w:tcW w:w="5687" w:type="dxa"/>
            <w:vAlign w:val="center"/>
          </w:tcPr>
          <w:p w14:paraId="1FE4F8AF">
            <w:pPr>
              <w:widowControl/>
              <w:spacing w:line="360" w:lineRule="auto"/>
              <w:jc w:val="center"/>
              <w:rPr>
                <w:rFonts w:hint="eastAsia"/>
                <w:kern w:val="0"/>
                <w:szCs w:val="21"/>
              </w:rPr>
            </w:pPr>
            <w:r>
              <w:rPr>
                <w:rFonts w:hint="eastAsia"/>
                <w:kern w:val="0"/>
                <w:szCs w:val="21"/>
              </w:rPr>
              <w:t>符合招标文件要求</w:t>
            </w:r>
          </w:p>
        </w:tc>
      </w:tr>
      <w:tr w14:paraId="6EF2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vAlign w:val="center"/>
          </w:tcPr>
          <w:p w14:paraId="5E0E8C15">
            <w:pPr>
              <w:autoSpaceDE w:val="0"/>
              <w:autoSpaceDN w:val="0"/>
              <w:adjustRightInd w:val="0"/>
              <w:spacing w:line="360" w:lineRule="auto"/>
              <w:ind w:left="38" w:leftChars="18"/>
              <w:jc w:val="center"/>
              <w:rPr>
                <w:rFonts w:hint="eastAsia"/>
                <w:kern w:val="0"/>
                <w:szCs w:val="21"/>
              </w:rPr>
            </w:pPr>
            <w:r>
              <w:rPr>
                <w:rFonts w:hint="eastAsia"/>
                <w:kern w:val="0"/>
                <w:szCs w:val="21"/>
              </w:rPr>
              <w:t>条款号</w:t>
            </w:r>
          </w:p>
        </w:tc>
        <w:tc>
          <w:tcPr>
            <w:tcW w:w="2242" w:type="dxa"/>
            <w:vAlign w:val="center"/>
          </w:tcPr>
          <w:p w14:paraId="6F20E535">
            <w:pPr>
              <w:autoSpaceDE w:val="0"/>
              <w:autoSpaceDN w:val="0"/>
              <w:adjustRightInd w:val="0"/>
              <w:spacing w:line="360" w:lineRule="auto"/>
              <w:ind w:left="38" w:leftChars="18"/>
              <w:jc w:val="center"/>
              <w:rPr>
                <w:rFonts w:hint="eastAsia"/>
                <w:kern w:val="0"/>
                <w:szCs w:val="21"/>
              </w:rPr>
            </w:pPr>
            <w:r>
              <w:rPr>
                <w:rFonts w:hint="eastAsia"/>
                <w:kern w:val="0"/>
                <w:szCs w:val="21"/>
              </w:rPr>
              <w:t>条款内容</w:t>
            </w:r>
          </w:p>
        </w:tc>
        <w:tc>
          <w:tcPr>
            <w:tcW w:w="5687" w:type="dxa"/>
            <w:vAlign w:val="center"/>
          </w:tcPr>
          <w:p w14:paraId="5C060B74">
            <w:pPr>
              <w:autoSpaceDE w:val="0"/>
              <w:autoSpaceDN w:val="0"/>
              <w:adjustRightInd w:val="0"/>
              <w:spacing w:line="360" w:lineRule="auto"/>
              <w:ind w:left="38" w:leftChars="18"/>
              <w:jc w:val="center"/>
              <w:rPr>
                <w:rFonts w:hint="eastAsia"/>
                <w:kern w:val="0"/>
                <w:szCs w:val="21"/>
              </w:rPr>
            </w:pPr>
            <w:r>
              <w:rPr>
                <w:rFonts w:hint="eastAsia"/>
                <w:kern w:val="0"/>
                <w:szCs w:val="21"/>
              </w:rPr>
              <w:t>编列内容</w:t>
            </w:r>
          </w:p>
        </w:tc>
      </w:tr>
      <w:tr w14:paraId="4C08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vAlign w:val="center"/>
          </w:tcPr>
          <w:p w14:paraId="5DEFFF4D">
            <w:pPr>
              <w:autoSpaceDE w:val="0"/>
              <w:autoSpaceDN w:val="0"/>
              <w:adjustRightInd w:val="0"/>
              <w:spacing w:line="360" w:lineRule="auto"/>
              <w:ind w:left="38" w:leftChars="18"/>
              <w:jc w:val="center"/>
              <w:rPr>
                <w:rFonts w:hint="eastAsia"/>
                <w:kern w:val="0"/>
                <w:szCs w:val="21"/>
              </w:rPr>
            </w:pPr>
            <w:r>
              <w:rPr>
                <w:rFonts w:hint="eastAsia"/>
                <w:kern w:val="0"/>
                <w:szCs w:val="21"/>
              </w:rPr>
              <w:t>2.2.1</w:t>
            </w:r>
          </w:p>
        </w:tc>
        <w:tc>
          <w:tcPr>
            <w:tcW w:w="2242" w:type="dxa"/>
            <w:vAlign w:val="center"/>
          </w:tcPr>
          <w:p w14:paraId="5B2221C9">
            <w:pPr>
              <w:autoSpaceDE w:val="0"/>
              <w:autoSpaceDN w:val="0"/>
              <w:adjustRightInd w:val="0"/>
              <w:spacing w:line="360" w:lineRule="auto"/>
              <w:ind w:left="38" w:leftChars="18"/>
              <w:jc w:val="center"/>
              <w:rPr>
                <w:rFonts w:hint="eastAsia"/>
                <w:kern w:val="0"/>
                <w:szCs w:val="21"/>
              </w:rPr>
            </w:pPr>
            <w:r>
              <w:rPr>
                <w:rFonts w:hint="eastAsia"/>
                <w:kern w:val="0"/>
                <w:szCs w:val="21"/>
              </w:rPr>
              <w:t>分值构成（总分100分）</w:t>
            </w:r>
          </w:p>
        </w:tc>
        <w:tc>
          <w:tcPr>
            <w:tcW w:w="5687" w:type="dxa"/>
            <w:vAlign w:val="center"/>
          </w:tcPr>
          <w:p w14:paraId="4776FCAD">
            <w:pPr>
              <w:autoSpaceDE w:val="0"/>
              <w:autoSpaceDN w:val="0"/>
              <w:adjustRightInd w:val="0"/>
              <w:spacing w:line="360" w:lineRule="auto"/>
              <w:ind w:left="38" w:leftChars="18"/>
              <w:jc w:val="left"/>
              <w:rPr>
                <w:rFonts w:hint="eastAsia"/>
              </w:rPr>
            </w:pPr>
            <w:bookmarkStart w:id="641" w:name="OLE_LINK80"/>
            <w:r>
              <w:rPr>
                <w:rFonts w:hint="eastAsia"/>
              </w:rPr>
              <w:t>投标报价：10分</w:t>
            </w:r>
          </w:p>
          <w:bookmarkEnd w:id="641"/>
          <w:p w14:paraId="3AC85ED3">
            <w:pPr>
              <w:autoSpaceDE w:val="0"/>
              <w:autoSpaceDN w:val="0"/>
              <w:adjustRightInd w:val="0"/>
              <w:spacing w:line="360" w:lineRule="auto"/>
              <w:ind w:left="38" w:leftChars="18"/>
              <w:jc w:val="left"/>
              <w:rPr>
                <w:rFonts w:hint="eastAsia"/>
              </w:rPr>
            </w:pPr>
            <w:r>
              <w:rPr>
                <w:rFonts w:hint="eastAsia"/>
              </w:rPr>
              <w:t>商务部分：50分</w:t>
            </w:r>
          </w:p>
          <w:p w14:paraId="33EAA6A9">
            <w:pPr>
              <w:autoSpaceDE w:val="0"/>
              <w:autoSpaceDN w:val="0"/>
              <w:adjustRightInd w:val="0"/>
              <w:spacing w:line="360" w:lineRule="auto"/>
              <w:ind w:left="38" w:leftChars="18"/>
              <w:jc w:val="left"/>
              <w:rPr>
                <w:rFonts w:hint="eastAsia"/>
              </w:rPr>
            </w:pPr>
            <w:r>
              <w:rPr>
                <w:rFonts w:hint="eastAsia"/>
              </w:rPr>
              <w:t>技术部分：40分</w:t>
            </w:r>
          </w:p>
        </w:tc>
      </w:tr>
      <w:tr w14:paraId="4526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29" w:type="dxa"/>
            <w:gridSpan w:val="2"/>
            <w:vAlign w:val="center"/>
          </w:tcPr>
          <w:p w14:paraId="7A0B19E2">
            <w:pPr>
              <w:autoSpaceDE w:val="0"/>
              <w:autoSpaceDN w:val="0"/>
              <w:adjustRightInd w:val="0"/>
              <w:spacing w:line="360" w:lineRule="auto"/>
              <w:ind w:left="38" w:leftChars="18"/>
              <w:jc w:val="center"/>
              <w:rPr>
                <w:rFonts w:hint="eastAsia"/>
                <w:kern w:val="0"/>
                <w:szCs w:val="21"/>
              </w:rPr>
            </w:pPr>
            <w:r>
              <w:rPr>
                <w:rFonts w:hint="eastAsia"/>
                <w:kern w:val="0"/>
                <w:szCs w:val="21"/>
              </w:rPr>
              <w:t>条款号</w:t>
            </w:r>
          </w:p>
        </w:tc>
        <w:tc>
          <w:tcPr>
            <w:tcW w:w="2242" w:type="dxa"/>
            <w:vAlign w:val="center"/>
          </w:tcPr>
          <w:p w14:paraId="16ECEA2A">
            <w:pPr>
              <w:autoSpaceDE w:val="0"/>
              <w:autoSpaceDN w:val="0"/>
              <w:adjustRightInd w:val="0"/>
              <w:spacing w:line="360" w:lineRule="auto"/>
              <w:ind w:left="38" w:leftChars="18"/>
              <w:jc w:val="center"/>
              <w:rPr>
                <w:rFonts w:hint="eastAsia"/>
                <w:kern w:val="0"/>
                <w:szCs w:val="21"/>
              </w:rPr>
            </w:pPr>
            <w:r>
              <w:rPr>
                <w:rFonts w:hint="eastAsia"/>
                <w:kern w:val="0"/>
                <w:szCs w:val="21"/>
              </w:rPr>
              <w:t>评分因素</w:t>
            </w:r>
          </w:p>
        </w:tc>
        <w:tc>
          <w:tcPr>
            <w:tcW w:w="5687" w:type="dxa"/>
            <w:vAlign w:val="center"/>
          </w:tcPr>
          <w:p w14:paraId="19E018DD">
            <w:pPr>
              <w:autoSpaceDE w:val="0"/>
              <w:autoSpaceDN w:val="0"/>
              <w:adjustRightInd w:val="0"/>
              <w:spacing w:line="360" w:lineRule="auto"/>
              <w:ind w:left="38" w:leftChars="18"/>
              <w:jc w:val="center"/>
              <w:rPr>
                <w:rFonts w:hint="eastAsia"/>
              </w:rPr>
            </w:pPr>
            <w:r>
              <w:rPr>
                <w:rFonts w:hint="eastAsia"/>
                <w:kern w:val="0"/>
                <w:szCs w:val="21"/>
              </w:rPr>
              <w:t>评分标准</w:t>
            </w:r>
          </w:p>
        </w:tc>
      </w:tr>
      <w:tr w14:paraId="306A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46" w:type="dxa"/>
            <w:vAlign w:val="center"/>
          </w:tcPr>
          <w:p w14:paraId="74151D46">
            <w:pPr>
              <w:widowControl/>
              <w:spacing w:line="360" w:lineRule="auto"/>
              <w:jc w:val="center"/>
              <w:rPr>
                <w:rFonts w:hint="eastAsia"/>
                <w:kern w:val="0"/>
                <w:szCs w:val="21"/>
              </w:rPr>
            </w:pPr>
            <w:r>
              <w:rPr>
                <w:rFonts w:hint="eastAsia"/>
                <w:kern w:val="0"/>
                <w:szCs w:val="21"/>
              </w:rPr>
              <w:t>2.2.2（1）</w:t>
            </w:r>
          </w:p>
        </w:tc>
        <w:tc>
          <w:tcPr>
            <w:tcW w:w="1083" w:type="dxa"/>
            <w:vAlign w:val="center"/>
          </w:tcPr>
          <w:p w14:paraId="69110090">
            <w:pPr>
              <w:widowControl/>
              <w:spacing w:line="360" w:lineRule="auto"/>
              <w:jc w:val="center"/>
              <w:rPr>
                <w:rFonts w:hint="eastAsia"/>
                <w:szCs w:val="21"/>
              </w:rPr>
            </w:pPr>
            <w:r>
              <w:rPr>
                <w:rFonts w:hint="eastAsia"/>
                <w:szCs w:val="21"/>
              </w:rPr>
              <w:t>报价得分（10分）</w:t>
            </w:r>
          </w:p>
        </w:tc>
        <w:tc>
          <w:tcPr>
            <w:tcW w:w="2242" w:type="dxa"/>
            <w:vAlign w:val="center"/>
          </w:tcPr>
          <w:p w14:paraId="4C4F7126">
            <w:pPr>
              <w:widowControl/>
              <w:spacing w:line="360" w:lineRule="auto"/>
              <w:jc w:val="center"/>
              <w:rPr>
                <w:rFonts w:hint="eastAsia"/>
                <w:kern w:val="0"/>
                <w:szCs w:val="21"/>
              </w:rPr>
            </w:pPr>
            <w:r>
              <w:rPr>
                <w:rFonts w:hint="eastAsia"/>
                <w:szCs w:val="21"/>
              </w:rPr>
              <w:t>投标报价评分标准</w:t>
            </w:r>
          </w:p>
        </w:tc>
        <w:tc>
          <w:tcPr>
            <w:tcW w:w="5687" w:type="dxa"/>
            <w:vAlign w:val="center"/>
          </w:tcPr>
          <w:p w14:paraId="1EB49AAB">
            <w:pPr>
              <w:pStyle w:val="21"/>
              <w:spacing w:after="0" w:line="360" w:lineRule="auto"/>
              <w:ind w:firstLine="0"/>
              <w:rPr>
                <w:rFonts w:hint="eastAsia" w:eastAsia="宋体"/>
                <w:sz w:val="21"/>
                <w:szCs w:val="21"/>
              </w:rPr>
            </w:pPr>
            <w:r>
              <w:rPr>
                <w:rFonts w:hint="eastAsia" w:eastAsia="宋体"/>
                <w:kern w:val="0"/>
                <w:sz w:val="21"/>
                <w:szCs w:val="21"/>
                <w:lang w:bidi="ar"/>
              </w:rPr>
              <w:t>价格扣除：（1）投标人所提供的服务由小微企业承接（即提供服务的人员为小微企业依照《中华人民共和国劳动合同法》订立劳动合同的从业人员）的投标报价给予10%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2）投标人为联合体投标的，对联合体的报价给予4%的价格扣除，用扣除后的价格参加评审。</w:t>
            </w:r>
          </w:p>
          <w:p w14:paraId="119E6020">
            <w:pPr>
              <w:spacing w:line="360" w:lineRule="auto"/>
              <w:ind w:firstLine="420" w:firstLineChars="200"/>
              <w:rPr>
                <w:rFonts w:hint="eastAsia"/>
                <w:kern w:val="0"/>
                <w:szCs w:val="21"/>
              </w:rPr>
            </w:pPr>
            <w:r>
              <w:rPr>
                <w:rFonts w:hint="eastAsia"/>
                <w:szCs w:val="21"/>
              </w:rPr>
              <w:t>按财政部司法部《关于政府采购支持监狱企业发展有关问题的通知》（财库〔2014〕68号）和财政部民政部中国残疾人联合会《关于促进残疾人就业政府采购政策的通知》（财库〔2017〕141号），监狱企业/残疾人福利性企业视同小型、微型企业。</w:t>
            </w:r>
          </w:p>
          <w:p w14:paraId="03DA627A">
            <w:pPr>
              <w:autoSpaceDE w:val="0"/>
              <w:autoSpaceDN w:val="0"/>
              <w:spacing w:line="400" w:lineRule="exact"/>
              <w:jc w:val="left"/>
              <w:rPr>
                <w:rFonts w:hint="eastAsia"/>
                <w:kern w:val="0"/>
                <w:szCs w:val="21"/>
              </w:rPr>
            </w:pPr>
            <w:r>
              <w:rPr>
                <w:rFonts w:hint="eastAsia"/>
                <w:kern w:val="0"/>
                <w:szCs w:val="21"/>
              </w:rPr>
              <w:t>1、评审价的确定</w:t>
            </w:r>
          </w:p>
          <w:p w14:paraId="6C00944C">
            <w:pPr>
              <w:autoSpaceDE w:val="0"/>
              <w:autoSpaceDN w:val="0"/>
              <w:spacing w:line="400" w:lineRule="exact"/>
              <w:jc w:val="left"/>
              <w:rPr>
                <w:rFonts w:hint="eastAsia"/>
                <w:kern w:val="0"/>
                <w:szCs w:val="21"/>
              </w:rPr>
            </w:pPr>
            <w:r>
              <w:rPr>
                <w:rFonts w:hint="eastAsia"/>
                <w:kern w:val="0"/>
                <w:szCs w:val="21"/>
              </w:rPr>
              <w:t xml:space="preserve">   大型、中型企业评审价=投标报价</w:t>
            </w:r>
          </w:p>
          <w:p w14:paraId="6D46075E">
            <w:pPr>
              <w:autoSpaceDE w:val="0"/>
              <w:autoSpaceDN w:val="0"/>
              <w:spacing w:line="400" w:lineRule="exact"/>
              <w:jc w:val="left"/>
              <w:rPr>
                <w:rFonts w:hint="eastAsia"/>
                <w:kern w:val="0"/>
                <w:szCs w:val="21"/>
              </w:rPr>
            </w:pPr>
            <w:r>
              <w:rPr>
                <w:rFonts w:hint="eastAsia"/>
                <w:kern w:val="0"/>
                <w:szCs w:val="21"/>
              </w:rPr>
              <w:t xml:space="preserve">   小、微型企业评审价=投标报价×（1-10%）</w:t>
            </w:r>
          </w:p>
          <w:p w14:paraId="32958062">
            <w:pPr>
              <w:autoSpaceDE w:val="0"/>
              <w:autoSpaceDN w:val="0"/>
              <w:spacing w:line="400" w:lineRule="exact"/>
              <w:ind w:firstLine="420" w:firstLineChars="200"/>
              <w:jc w:val="left"/>
              <w:rPr>
                <w:rFonts w:hint="eastAsia"/>
                <w:kern w:val="0"/>
                <w:szCs w:val="21"/>
              </w:rPr>
            </w:pPr>
            <w:r>
              <w:rPr>
                <w:rFonts w:hint="eastAsia"/>
                <w:kern w:val="0"/>
                <w:szCs w:val="21"/>
              </w:rPr>
              <w:t>联合体企业评审价=投标报价×（1-4%）</w:t>
            </w:r>
          </w:p>
          <w:p w14:paraId="2C6B0459">
            <w:pPr>
              <w:autoSpaceDE w:val="0"/>
              <w:autoSpaceDN w:val="0"/>
              <w:spacing w:line="400" w:lineRule="exact"/>
              <w:jc w:val="left"/>
              <w:rPr>
                <w:rFonts w:hint="eastAsia"/>
                <w:kern w:val="0"/>
                <w:szCs w:val="21"/>
              </w:rPr>
            </w:pPr>
            <w:r>
              <w:rPr>
                <w:rFonts w:hint="eastAsia"/>
                <w:kern w:val="0"/>
                <w:szCs w:val="21"/>
              </w:rPr>
              <w:t>2、评审基准价的确定</w:t>
            </w:r>
          </w:p>
          <w:p w14:paraId="20928E85">
            <w:pPr>
              <w:autoSpaceDE w:val="0"/>
              <w:autoSpaceDN w:val="0"/>
              <w:spacing w:line="400" w:lineRule="exact"/>
              <w:jc w:val="left"/>
              <w:rPr>
                <w:rFonts w:hint="eastAsia"/>
                <w:kern w:val="0"/>
                <w:szCs w:val="21"/>
              </w:rPr>
            </w:pPr>
            <w:r>
              <w:rPr>
                <w:rFonts w:hint="eastAsia"/>
                <w:kern w:val="0"/>
                <w:szCs w:val="21"/>
              </w:rPr>
              <w:t xml:space="preserve">   满足招标文件要求且最低的评审价为评标基准价。</w:t>
            </w:r>
          </w:p>
          <w:p w14:paraId="31724308">
            <w:pPr>
              <w:autoSpaceDE w:val="0"/>
              <w:autoSpaceDN w:val="0"/>
              <w:spacing w:line="400" w:lineRule="exact"/>
              <w:jc w:val="left"/>
              <w:rPr>
                <w:rFonts w:hint="eastAsia"/>
                <w:kern w:val="0"/>
                <w:szCs w:val="21"/>
              </w:rPr>
            </w:pPr>
            <w:r>
              <w:rPr>
                <w:rFonts w:hint="eastAsia"/>
                <w:kern w:val="0"/>
                <w:szCs w:val="21"/>
              </w:rPr>
              <w:t>3、报价得分计算公式</w:t>
            </w:r>
          </w:p>
          <w:p w14:paraId="07826506">
            <w:pPr>
              <w:spacing w:line="360" w:lineRule="auto"/>
              <w:rPr>
                <w:rFonts w:hint="eastAsia"/>
                <w:kern w:val="0"/>
                <w:szCs w:val="21"/>
              </w:rPr>
            </w:pPr>
            <w:r>
              <w:rPr>
                <w:rFonts w:hint="eastAsia"/>
                <w:kern w:val="0"/>
                <w:szCs w:val="21"/>
              </w:rPr>
              <w:t xml:space="preserve">   </w:t>
            </w:r>
            <w:r>
              <w:rPr>
                <w:rFonts w:hint="eastAsia"/>
                <w:szCs w:val="21"/>
              </w:rPr>
              <w:t>投标报价得分=(评标基准价／评标报价)×10</w:t>
            </w:r>
          </w:p>
        </w:tc>
      </w:tr>
      <w:tr w14:paraId="797C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6" w:type="dxa"/>
            <w:vMerge w:val="restart"/>
            <w:vAlign w:val="center"/>
          </w:tcPr>
          <w:p w14:paraId="7806E8FA">
            <w:pPr>
              <w:widowControl/>
              <w:spacing w:line="360" w:lineRule="auto"/>
              <w:jc w:val="center"/>
              <w:rPr>
                <w:rFonts w:hint="eastAsia"/>
                <w:kern w:val="0"/>
                <w:szCs w:val="21"/>
              </w:rPr>
            </w:pPr>
            <w:bookmarkStart w:id="642" w:name="OLE_LINK16" w:colFirst="2" w:colLast="3"/>
            <w:r>
              <w:rPr>
                <w:rFonts w:hint="eastAsia"/>
                <w:kern w:val="0"/>
                <w:szCs w:val="21"/>
              </w:rPr>
              <w:t>2.2.2（2）</w:t>
            </w:r>
          </w:p>
        </w:tc>
        <w:tc>
          <w:tcPr>
            <w:tcW w:w="1083" w:type="dxa"/>
            <w:vMerge w:val="restart"/>
            <w:vAlign w:val="center"/>
          </w:tcPr>
          <w:p w14:paraId="3C24B9C7">
            <w:pPr>
              <w:widowControl/>
              <w:spacing w:line="360" w:lineRule="auto"/>
              <w:rPr>
                <w:rFonts w:hint="eastAsia"/>
                <w:szCs w:val="21"/>
              </w:rPr>
            </w:pPr>
            <w:r>
              <w:rPr>
                <w:rFonts w:hint="eastAsia"/>
                <w:szCs w:val="21"/>
              </w:rPr>
              <w:t>商务部分（50分）</w:t>
            </w:r>
          </w:p>
        </w:tc>
        <w:tc>
          <w:tcPr>
            <w:tcW w:w="2242" w:type="dxa"/>
            <w:vAlign w:val="center"/>
          </w:tcPr>
          <w:p w14:paraId="67F7E3FA">
            <w:pPr>
              <w:autoSpaceDE w:val="0"/>
              <w:autoSpaceDN w:val="0"/>
              <w:spacing w:line="360" w:lineRule="auto"/>
              <w:jc w:val="center"/>
              <w:rPr>
                <w:rFonts w:hint="eastAsia"/>
                <w:kern w:val="0"/>
                <w:szCs w:val="21"/>
              </w:rPr>
            </w:pPr>
            <w:r>
              <w:rPr>
                <w:rFonts w:hint="eastAsia"/>
                <w:kern w:val="0"/>
                <w:szCs w:val="21"/>
              </w:rPr>
              <w:t>企业认证3分</w:t>
            </w:r>
          </w:p>
        </w:tc>
        <w:tc>
          <w:tcPr>
            <w:tcW w:w="5687" w:type="dxa"/>
            <w:vAlign w:val="center"/>
          </w:tcPr>
          <w:p w14:paraId="2BF1E21C">
            <w:pPr>
              <w:autoSpaceDE w:val="0"/>
              <w:autoSpaceDN w:val="0"/>
              <w:spacing w:line="360" w:lineRule="auto"/>
              <w:rPr>
                <w:rFonts w:hint="eastAsia"/>
                <w:kern w:val="0"/>
                <w:szCs w:val="21"/>
              </w:rPr>
            </w:pPr>
            <w:r>
              <w:rPr>
                <w:kern w:val="0"/>
                <w:szCs w:val="21"/>
              </w:rPr>
              <w:t>供应商具有质量管理体系认证证书、环境管理体系认证、职业健康安全管理体系认证证书，每个得1分，满分3分，</w:t>
            </w:r>
            <w:r>
              <w:rPr>
                <w:rFonts w:hint="eastAsia"/>
                <w:kern w:val="0"/>
                <w:szCs w:val="21"/>
              </w:rPr>
              <w:t>缺项</w:t>
            </w:r>
            <w:r>
              <w:rPr>
                <w:kern w:val="0"/>
                <w:szCs w:val="21"/>
              </w:rPr>
              <w:t>不得分。（证书须在有效期内，须同时提供证书扫描件和全国认证认可业务信息统一查询平台（网址http://cx.cnca.cn）网站查询截图并加盖公章，否则不得分）</w:t>
            </w:r>
          </w:p>
        </w:tc>
      </w:tr>
      <w:tr w14:paraId="1B36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2A4118F9">
            <w:pPr>
              <w:widowControl/>
              <w:spacing w:line="360" w:lineRule="auto"/>
              <w:jc w:val="center"/>
              <w:rPr>
                <w:rFonts w:hint="eastAsia"/>
                <w:kern w:val="0"/>
                <w:szCs w:val="21"/>
              </w:rPr>
            </w:pPr>
          </w:p>
        </w:tc>
        <w:tc>
          <w:tcPr>
            <w:tcW w:w="1083" w:type="dxa"/>
            <w:vMerge w:val="continue"/>
            <w:vAlign w:val="center"/>
          </w:tcPr>
          <w:p w14:paraId="1E67C1A1">
            <w:pPr>
              <w:widowControl/>
              <w:spacing w:line="360" w:lineRule="auto"/>
              <w:rPr>
                <w:rFonts w:hint="eastAsia"/>
                <w:szCs w:val="21"/>
              </w:rPr>
            </w:pPr>
          </w:p>
        </w:tc>
        <w:tc>
          <w:tcPr>
            <w:tcW w:w="2242" w:type="dxa"/>
            <w:vAlign w:val="center"/>
          </w:tcPr>
          <w:p w14:paraId="0D7C07AC">
            <w:pPr>
              <w:autoSpaceDE w:val="0"/>
              <w:autoSpaceDN w:val="0"/>
              <w:spacing w:line="360" w:lineRule="auto"/>
              <w:jc w:val="center"/>
              <w:rPr>
                <w:rFonts w:hint="eastAsia"/>
                <w:kern w:val="0"/>
                <w:szCs w:val="21"/>
              </w:rPr>
            </w:pPr>
            <w:r>
              <w:rPr>
                <w:rFonts w:hint="eastAsia"/>
                <w:kern w:val="0"/>
                <w:szCs w:val="21"/>
              </w:rPr>
              <w:t>业绩15分</w:t>
            </w:r>
          </w:p>
        </w:tc>
        <w:tc>
          <w:tcPr>
            <w:tcW w:w="5687" w:type="dxa"/>
            <w:vAlign w:val="center"/>
          </w:tcPr>
          <w:p w14:paraId="6A3EFE37">
            <w:pPr>
              <w:autoSpaceDE w:val="0"/>
              <w:autoSpaceDN w:val="0"/>
              <w:spacing w:line="360" w:lineRule="auto"/>
              <w:rPr>
                <w:rFonts w:hint="eastAsia"/>
                <w:kern w:val="0"/>
                <w:szCs w:val="21"/>
                <w:highlight w:val="none"/>
              </w:rPr>
            </w:pPr>
            <w:r>
              <w:rPr>
                <w:rFonts w:hint="eastAsia"/>
                <w:kern w:val="0"/>
                <w:szCs w:val="21"/>
                <w:highlight w:val="none"/>
              </w:rPr>
              <w:t>供应商承担过基础数据库系统开发及标准化建设的业绩，每项得5分，最高10分，无业绩不得分。</w:t>
            </w:r>
          </w:p>
          <w:p w14:paraId="0DAB6EAF">
            <w:pPr>
              <w:autoSpaceDE w:val="0"/>
              <w:autoSpaceDN w:val="0"/>
              <w:spacing w:line="360" w:lineRule="auto"/>
              <w:rPr>
                <w:rFonts w:hint="eastAsia"/>
                <w:kern w:val="0"/>
                <w:szCs w:val="21"/>
                <w:highlight w:val="none"/>
              </w:rPr>
            </w:pPr>
            <w:r>
              <w:rPr>
                <w:rFonts w:hint="eastAsia"/>
                <w:kern w:val="0"/>
                <w:szCs w:val="21"/>
                <w:highlight w:val="none"/>
              </w:rPr>
              <w:t>供应商承担工程健康监测项目的业绩，每项得2.5分，最高5分，无业绩不得分。</w:t>
            </w:r>
          </w:p>
          <w:p w14:paraId="04C1D5DE">
            <w:pPr>
              <w:autoSpaceDE w:val="0"/>
              <w:autoSpaceDN w:val="0"/>
              <w:spacing w:line="360" w:lineRule="auto"/>
              <w:rPr>
                <w:rFonts w:hint="eastAsia"/>
                <w:kern w:val="0"/>
                <w:szCs w:val="21"/>
                <w:highlight w:val="none"/>
              </w:rPr>
            </w:pPr>
            <w:r>
              <w:rPr>
                <w:rFonts w:hint="eastAsia"/>
                <w:kern w:val="0"/>
                <w:szCs w:val="21"/>
                <w:highlight w:val="none"/>
              </w:rPr>
              <w:t>说明：投标人应在投标文件中提供业绩清单一览表和合同的复印件。</w:t>
            </w:r>
          </w:p>
        </w:tc>
      </w:tr>
      <w:tr w14:paraId="5EB9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0DFA9E54">
            <w:pPr>
              <w:widowControl/>
              <w:spacing w:line="360" w:lineRule="auto"/>
              <w:jc w:val="center"/>
              <w:rPr>
                <w:rFonts w:hint="eastAsia"/>
                <w:kern w:val="0"/>
                <w:szCs w:val="21"/>
              </w:rPr>
            </w:pPr>
          </w:p>
        </w:tc>
        <w:tc>
          <w:tcPr>
            <w:tcW w:w="1083" w:type="dxa"/>
            <w:vMerge w:val="continue"/>
            <w:vAlign w:val="center"/>
          </w:tcPr>
          <w:p w14:paraId="6298AF2A">
            <w:pPr>
              <w:widowControl/>
              <w:spacing w:line="360" w:lineRule="auto"/>
              <w:jc w:val="center"/>
              <w:rPr>
                <w:rFonts w:hint="eastAsia"/>
                <w:szCs w:val="21"/>
              </w:rPr>
            </w:pPr>
          </w:p>
        </w:tc>
        <w:tc>
          <w:tcPr>
            <w:tcW w:w="2242" w:type="dxa"/>
            <w:vAlign w:val="center"/>
          </w:tcPr>
          <w:p w14:paraId="1684D65F">
            <w:pPr>
              <w:tabs>
                <w:tab w:val="center" w:pos="4153"/>
                <w:tab w:val="right" w:pos="8306"/>
              </w:tabs>
              <w:snapToGrid w:val="0"/>
              <w:spacing w:line="360" w:lineRule="auto"/>
              <w:jc w:val="center"/>
              <w:rPr>
                <w:rFonts w:hint="eastAsia"/>
                <w:kern w:val="0"/>
                <w:szCs w:val="21"/>
              </w:rPr>
            </w:pPr>
            <w:r>
              <w:rPr>
                <w:rFonts w:hint="eastAsia"/>
                <w:kern w:val="0"/>
                <w:szCs w:val="21"/>
              </w:rPr>
              <w:t>拟派团队10分</w:t>
            </w:r>
          </w:p>
        </w:tc>
        <w:tc>
          <w:tcPr>
            <w:tcW w:w="5687" w:type="dxa"/>
            <w:vAlign w:val="center"/>
          </w:tcPr>
          <w:p w14:paraId="0120B483">
            <w:pPr>
              <w:tabs>
                <w:tab w:val="center" w:pos="4153"/>
                <w:tab w:val="right" w:pos="8306"/>
              </w:tabs>
              <w:snapToGrid w:val="0"/>
              <w:spacing w:line="360" w:lineRule="auto"/>
              <w:rPr>
                <w:rFonts w:hint="eastAsia"/>
                <w:szCs w:val="21"/>
              </w:rPr>
            </w:pPr>
            <w:r>
              <w:rPr>
                <w:rFonts w:hint="eastAsia"/>
                <w:szCs w:val="21"/>
              </w:rPr>
              <w:t>拟派团队须是本单位人员，人员中具有与从事地震工程相适应的震害防御、结构工程、软件工程、地震学4个相关专业背景的专职技术人员，每个专业方向具有高级职称的得2.5分，其他不得分，最高不超过10分。（需提供劳动合同复印件）。</w:t>
            </w:r>
          </w:p>
        </w:tc>
      </w:tr>
      <w:tr w14:paraId="0344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13A1EE03">
            <w:pPr>
              <w:widowControl/>
              <w:spacing w:line="360" w:lineRule="auto"/>
              <w:jc w:val="center"/>
              <w:rPr>
                <w:rFonts w:hint="eastAsia"/>
                <w:kern w:val="0"/>
                <w:szCs w:val="21"/>
              </w:rPr>
            </w:pPr>
          </w:p>
        </w:tc>
        <w:tc>
          <w:tcPr>
            <w:tcW w:w="1083" w:type="dxa"/>
            <w:vMerge w:val="continue"/>
            <w:vAlign w:val="center"/>
          </w:tcPr>
          <w:p w14:paraId="463496A5">
            <w:pPr>
              <w:widowControl/>
              <w:spacing w:line="360" w:lineRule="auto"/>
              <w:jc w:val="center"/>
              <w:rPr>
                <w:rFonts w:hint="eastAsia"/>
                <w:szCs w:val="21"/>
              </w:rPr>
            </w:pPr>
          </w:p>
        </w:tc>
        <w:tc>
          <w:tcPr>
            <w:tcW w:w="2242" w:type="dxa"/>
            <w:vAlign w:val="center"/>
          </w:tcPr>
          <w:p w14:paraId="6A842290">
            <w:pPr>
              <w:tabs>
                <w:tab w:val="center" w:pos="4153"/>
                <w:tab w:val="right" w:pos="8306"/>
              </w:tabs>
              <w:snapToGrid w:val="0"/>
              <w:spacing w:line="360" w:lineRule="auto"/>
              <w:jc w:val="center"/>
              <w:rPr>
                <w:rFonts w:hint="eastAsia"/>
                <w:szCs w:val="21"/>
              </w:rPr>
            </w:pPr>
            <w:r>
              <w:rPr>
                <w:rFonts w:hint="eastAsia"/>
                <w:szCs w:val="21"/>
              </w:rPr>
              <w:t>获奖情况16分</w:t>
            </w:r>
          </w:p>
        </w:tc>
        <w:tc>
          <w:tcPr>
            <w:tcW w:w="5687" w:type="dxa"/>
            <w:vAlign w:val="center"/>
          </w:tcPr>
          <w:p w14:paraId="6A2EDA5B">
            <w:pPr>
              <w:tabs>
                <w:tab w:val="center" w:pos="4153"/>
                <w:tab w:val="right" w:pos="8306"/>
              </w:tabs>
              <w:snapToGrid w:val="0"/>
              <w:spacing w:line="360" w:lineRule="auto"/>
              <w:rPr>
                <w:rFonts w:hint="eastAsia"/>
                <w:szCs w:val="21"/>
                <w:highlight w:val="none"/>
              </w:rPr>
            </w:pPr>
            <w:r>
              <w:rPr>
                <w:rFonts w:hint="eastAsia"/>
                <w:szCs w:val="21"/>
                <w:highlight w:val="none"/>
              </w:rPr>
              <w:t>2015年1月1日以来，供应商获得省部级及以上防灾减灾监测、预警或防御相关领域的奖项得5分，最高10分；</w:t>
            </w:r>
          </w:p>
          <w:p w14:paraId="227BD26A">
            <w:pPr>
              <w:tabs>
                <w:tab w:val="center" w:pos="4153"/>
                <w:tab w:val="right" w:pos="8306"/>
              </w:tabs>
              <w:snapToGrid w:val="0"/>
              <w:spacing w:line="360" w:lineRule="auto"/>
              <w:rPr>
                <w:rFonts w:hint="eastAsia"/>
                <w:szCs w:val="21"/>
                <w:highlight w:val="none"/>
              </w:rPr>
            </w:pPr>
            <w:r>
              <w:rPr>
                <w:rFonts w:hint="eastAsia"/>
                <w:szCs w:val="21"/>
                <w:highlight w:val="none"/>
              </w:rPr>
              <w:t>2015年1月1日以来，供应商每获得一个厅局级防灾减灾监测、预警或防御相关领域的奖项的得2分，最高6分。（需提供</w:t>
            </w:r>
            <w:bookmarkStart w:id="643" w:name="_Hlk205907029"/>
            <w:r>
              <w:rPr>
                <w:rFonts w:hint="eastAsia"/>
                <w:szCs w:val="21"/>
                <w:highlight w:val="none"/>
              </w:rPr>
              <w:t>证书、文件、奖杯、奖牌等</w:t>
            </w:r>
            <w:bookmarkEnd w:id="643"/>
            <w:r>
              <w:rPr>
                <w:rFonts w:hint="eastAsia"/>
                <w:szCs w:val="21"/>
                <w:highlight w:val="none"/>
              </w:rPr>
              <w:t>证明材料）。</w:t>
            </w:r>
          </w:p>
        </w:tc>
      </w:tr>
      <w:tr w14:paraId="505C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630ABDA2">
            <w:pPr>
              <w:widowControl/>
              <w:spacing w:line="360" w:lineRule="auto"/>
              <w:jc w:val="center"/>
              <w:rPr>
                <w:rFonts w:hint="eastAsia"/>
                <w:kern w:val="0"/>
                <w:szCs w:val="21"/>
              </w:rPr>
            </w:pPr>
            <w:bookmarkStart w:id="644" w:name="OLE_LINK17" w:colFirst="2" w:colLast="3"/>
            <w:bookmarkStart w:id="645" w:name="OLE_LINK5" w:colFirst="2" w:colLast="2"/>
          </w:p>
        </w:tc>
        <w:tc>
          <w:tcPr>
            <w:tcW w:w="1083" w:type="dxa"/>
            <w:vMerge w:val="continue"/>
            <w:vAlign w:val="center"/>
          </w:tcPr>
          <w:p w14:paraId="2E19D635">
            <w:pPr>
              <w:widowControl/>
              <w:spacing w:line="360" w:lineRule="auto"/>
              <w:jc w:val="center"/>
              <w:rPr>
                <w:rFonts w:hint="eastAsia"/>
                <w:szCs w:val="21"/>
              </w:rPr>
            </w:pPr>
          </w:p>
        </w:tc>
        <w:tc>
          <w:tcPr>
            <w:tcW w:w="2242" w:type="dxa"/>
            <w:vAlign w:val="center"/>
          </w:tcPr>
          <w:p w14:paraId="303B7E61">
            <w:pPr>
              <w:tabs>
                <w:tab w:val="center" w:pos="4153"/>
                <w:tab w:val="right" w:pos="8306"/>
              </w:tabs>
              <w:snapToGrid w:val="0"/>
              <w:spacing w:line="360" w:lineRule="auto"/>
              <w:jc w:val="center"/>
              <w:rPr>
                <w:rFonts w:hint="eastAsia"/>
                <w:szCs w:val="21"/>
              </w:rPr>
            </w:pPr>
            <w:bookmarkStart w:id="646" w:name="_Hlk205907054"/>
            <w:r>
              <w:rPr>
                <w:rFonts w:hint="eastAsia"/>
                <w:szCs w:val="21"/>
              </w:rPr>
              <w:t>科研成果</w:t>
            </w:r>
            <w:bookmarkEnd w:id="646"/>
            <w:r>
              <w:rPr>
                <w:rFonts w:hint="eastAsia"/>
                <w:szCs w:val="21"/>
              </w:rPr>
              <w:t>6分</w:t>
            </w:r>
          </w:p>
        </w:tc>
        <w:tc>
          <w:tcPr>
            <w:tcW w:w="5687" w:type="dxa"/>
            <w:vAlign w:val="center"/>
          </w:tcPr>
          <w:p w14:paraId="756C21E2">
            <w:pPr>
              <w:tabs>
                <w:tab w:val="center" w:pos="4153"/>
                <w:tab w:val="right" w:pos="8306"/>
              </w:tabs>
              <w:snapToGrid w:val="0"/>
              <w:spacing w:line="360" w:lineRule="auto"/>
              <w:rPr>
                <w:rFonts w:hint="eastAsia"/>
                <w:szCs w:val="21"/>
              </w:rPr>
            </w:pPr>
            <w:r>
              <w:rPr>
                <w:rFonts w:hint="eastAsia"/>
                <w:szCs w:val="21"/>
              </w:rPr>
              <w:t>2015年1月1日以来，供应商获防灾减灾监测、预警或防御相关领域的发明专利和软件著作权：发明专利，每项得1分，最高计4分；软件著作权，每项得0.2分，最高计2分。（需提供</w:t>
            </w:r>
            <w:bookmarkStart w:id="647" w:name="_Hlk205907077"/>
            <w:r>
              <w:rPr>
                <w:rFonts w:hint="eastAsia"/>
                <w:szCs w:val="21"/>
              </w:rPr>
              <w:t>发明专利、软件著作权证书等证明材料</w:t>
            </w:r>
            <w:bookmarkEnd w:id="647"/>
            <w:r>
              <w:rPr>
                <w:rFonts w:hint="eastAsia"/>
                <w:szCs w:val="21"/>
              </w:rPr>
              <w:t>）。</w:t>
            </w:r>
          </w:p>
        </w:tc>
      </w:tr>
      <w:bookmarkEnd w:id="642"/>
      <w:tr w14:paraId="5E56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vAlign w:val="center"/>
          </w:tcPr>
          <w:p w14:paraId="1198DC3A">
            <w:pPr>
              <w:widowControl/>
              <w:spacing w:line="360" w:lineRule="auto"/>
              <w:jc w:val="center"/>
              <w:rPr>
                <w:rFonts w:hint="eastAsia"/>
                <w:kern w:val="0"/>
                <w:szCs w:val="21"/>
              </w:rPr>
            </w:pPr>
            <w:r>
              <w:rPr>
                <w:rFonts w:hint="eastAsia"/>
                <w:kern w:val="0"/>
                <w:szCs w:val="21"/>
              </w:rPr>
              <w:t>2.2.2（3）</w:t>
            </w:r>
          </w:p>
        </w:tc>
        <w:tc>
          <w:tcPr>
            <w:tcW w:w="1083" w:type="dxa"/>
            <w:vMerge w:val="restart"/>
            <w:vAlign w:val="center"/>
          </w:tcPr>
          <w:p w14:paraId="30455545">
            <w:pPr>
              <w:widowControl/>
              <w:spacing w:line="360" w:lineRule="auto"/>
              <w:jc w:val="center"/>
              <w:rPr>
                <w:rFonts w:hint="eastAsia"/>
              </w:rPr>
            </w:pPr>
            <w:r>
              <w:rPr>
                <w:rFonts w:hint="eastAsia"/>
              </w:rPr>
              <w:t>技术部分（40分）</w:t>
            </w:r>
          </w:p>
          <w:p w14:paraId="6EE4F462">
            <w:pPr>
              <w:widowControl/>
              <w:spacing w:line="360" w:lineRule="auto"/>
              <w:jc w:val="center"/>
              <w:rPr>
                <w:rFonts w:hint="eastAsia"/>
              </w:rPr>
            </w:pPr>
          </w:p>
        </w:tc>
        <w:tc>
          <w:tcPr>
            <w:tcW w:w="2242" w:type="dxa"/>
            <w:vAlign w:val="center"/>
          </w:tcPr>
          <w:p w14:paraId="608035E8">
            <w:pPr>
              <w:tabs>
                <w:tab w:val="center" w:pos="4153"/>
                <w:tab w:val="right" w:pos="8306"/>
              </w:tabs>
              <w:snapToGrid w:val="0"/>
              <w:spacing w:line="360" w:lineRule="auto"/>
              <w:jc w:val="center"/>
              <w:rPr>
                <w:rFonts w:hint="eastAsia"/>
                <w:kern w:val="0"/>
                <w:szCs w:val="21"/>
              </w:rPr>
            </w:pPr>
            <w:r>
              <w:rPr>
                <w:rFonts w:hint="eastAsia"/>
                <w:kern w:val="0"/>
                <w:szCs w:val="21"/>
              </w:rPr>
              <w:t>平台建设方案8分</w:t>
            </w:r>
          </w:p>
        </w:tc>
        <w:tc>
          <w:tcPr>
            <w:tcW w:w="5687" w:type="dxa"/>
            <w:vAlign w:val="center"/>
          </w:tcPr>
          <w:p w14:paraId="31A0EB1C">
            <w:pPr>
              <w:pStyle w:val="29"/>
              <w:spacing w:line="360" w:lineRule="auto"/>
              <w:rPr>
                <w:rFonts w:hint="eastAsia"/>
                <w:color w:val="auto"/>
                <w:sz w:val="21"/>
                <w:szCs w:val="21"/>
              </w:rPr>
            </w:pPr>
            <w:r>
              <w:rPr>
                <w:rFonts w:hint="eastAsia"/>
                <w:color w:val="auto"/>
                <w:sz w:val="21"/>
                <w:szCs w:val="21"/>
              </w:rPr>
              <w:t>1.投标人对本项目平台建设内容，深刻、精准、全面理解，分析与业务目标强关联；全面识别并深刻剖析项目核心难点、关键要点和建设目标，有清晰的应对策略；技术选型与业务场景高度匹配，逻辑清晰，结构稳健；满足技术要求，功能设计完善，完全覆盖所有需求，并充分考虑了用户体验和业务流程的完整性的得8分。</w:t>
            </w:r>
          </w:p>
          <w:p w14:paraId="0568653F">
            <w:pPr>
              <w:pStyle w:val="29"/>
              <w:spacing w:line="360" w:lineRule="auto"/>
              <w:rPr>
                <w:rFonts w:hint="eastAsia"/>
                <w:color w:val="auto"/>
                <w:sz w:val="21"/>
                <w:szCs w:val="21"/>
              </w:rPr>
            </w:pPr>
            <w:r>
              <w:rPr>
                <w:rFonts w:hint="eastAsia"/>
                <w:color w:val="auto"/>
                <w:sz w:val="21"/>
                <w:szCs w:val="21"/>
              </w:rPr>
              <w:t>2.投标人对本项目平台建设内容，基本理解准确，能识别大部分项目要点，但对核心难点的分析不够深入，或未形成针对性策略；技术方案整体可行、合理，技术选型主流、稳妥，但可能缺乏创新和先进性；功能设计能满足绝大部分核心需求，但可能在某些次要或边缘功能上存在遗漏的得4分。</w:t>
            </w:r>
          </w:p>
          <w:p w14:paraId="1100CDB9">
            <w:pPr>
              <w:pStyle w:val="29"/>
              <w:spacing w:line="360" w:lineRule="auto"/>
              <w:rPr>
                <w:rFonts w:hint="eastAsia"/>
                <w:color w:val="auto"/>
                <w:sz w:val="21"/>
                <w:szCs w:val="21"/>
              </w:rPr>
            </w:pPr>
            <w:r>
              <w:rPr>
                <w:rFonts w:hint="eastAsia"/>
                <w:color w:val="auto"/>
                <w:sz w:val="21"/>
                <w:szCs w:val="21"/>
              </w:rPr>
              <w:t>3.投标人对本项目平台建设内容，理解片面、模糊，仅停留在对招标文件的表面复述；未能准确识别项目重点与难点，对建设目标的理解模糊；技术方案过于通用化，缺乏针对性；或存在明显不合理之处，技术选型陈旧或不当；功能设计存在明显缺失，无法满足核心业务需求，或无法形成业务闭环的得1分。</w:t>
            </w:r>
          </w:p>
          <w:p w14:paraId="66E0EFA5">
            <w:pPr>
              <w:pStyle w:val="29"/>
              <w:spacing w:line="360" w:lineRule="auto"/>
              <w:rPr>
                <w:rFonts w:hint="eastAsia"/>
                <w:color w:val="auto"/>
                <w:sz w:val="21"/>
                <w:szCs w:val="21"/>
              </w:rPr>
            </w:pPr>
            <w:r>
              <w:rPr>
                <w:rFonts w:hint="eastAsia"/>
                <w:color w:val="auto"/>
                <w:sz w:val="21"/>
                <w:szCs w:val="21"/>
              </w:rPr>
              <w:t>4.不提供相应建设方案，不得分。</w:t>
            </w:r>
          </w:p>
        </w:tc>
      </w:tr>
      <w:tr w14:paraId="02A0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392119BC">
            <w:pPr>
              <w:widowControl/>
              <w:spacing w:line="360" w:lineRule="auto"/>
              <w:jc w:val="center"/>
              <w:rPr>
                <w:rFonts w:hint="eastAsia"/>
                <w:kern w:val="0"/>
                <w:szCs w:val="21"/>
              </w:rPr>
            </w:pPr>
          </w:p>
        </w:tc>
        <w:tc>
          <w:tcPr>
            <w:tcW w:w="1083" w:type="dxa"/>
            <w:vMerge w:val="continue"/>
            <w:vAlign w:val="center"/>
          </w:tcPr>
          <w:p w14:paraId="45E51AFC">
            <w:pPr>
              <w:widowControl/>
              <w:spacing w:line="360" w:lineRule="auto"/>
              <w:jc w:val="center"/>
              <w:rPr>
                <w:rFonts w:hint="eastAsia"/>
                <w:kern w:val="0"/>
                <w:szCs w:val="21"/>
              </w:rPr>
            </w:pPr>
          </w:p>
        </w:tc>
        <w:tc>
          <w:tcPr>
            <w:tcW w:w="2242" w:type="dxa"/>
            <w:vAlign w:val="center"/>
          </w:tcPr>
          <w:p w14:paraId="01491FA6">
            <w:pPr>
              <w:tabs>
                <w:tab w:val="center" w:pos="4153"/>
                <w:tab w:val="right" w:pos="8306"/>
              </w:tabs>
              <w:snapToGrid w:val="0"/>
              <w:spacing w:line="360" w:lineRule="auto"/>
              <w:jc w:val="center"/>
              <w:rPr>
                <w:rFonts w:hint="eastAsia"/>
                <w:kern w:val="0"/>
                <w:szCs w:val="21"/>
              </w:rPr>
            </w:pPr>
            <w:r>
              <w:rPr>
                <w:rFonts w:hint="eastAsia"/>
                <w:kern w:val="0"/>
                <w:szCs w:val="21"/>
              </w:rPr>
              <w:t>示范工程建设方案8分</w:t>
            </w:r>
          </w:p>
        </w:tc>
        <w:tc>
          <w:tcPr>
            <w:tcW w:w="5687" w:type="dxa"/>
            <w:vAlign w:val="center"/>
          </w:tcPr>
          <w:p w14:paraId="6D4FDE92">
            <w:pPr>
              <w:widowControl/>
              <w:spacing w:line="360" w:lineRule="auto"/>
              <w:jc w:val="left"/>
              <w:rPr>
                <w:rFonts w:hint="eastAsia"/>
                <w:kern w:val="0"/>
                <w:szCs w:val="21"/>
              </w:rPr>
            </w:pPr>
            <w:r>
              <w:rPr>
                <w:rFonts w:hint="eastAsia"/>
                <w:kern w:val="0"/>
                <w:szCs w:val="21"/>
              </w:rPr>
              <w:t>1.投标人对本项目的应用示范工程（小浪底水库大坝强震监测系统、濮阳白堽黄河公路大桥监测系统）建设提供的实施技术方案合理，施工图科学，重难点理解分析到位，计划全面完整、务实、具体、明确、有针对性，系统集成设计科学合理，得8分；</w:t>
            </w:r>
          </w:p>
          <w:p w14:paraId="2C1A7AE2">
            <w:pPr>
              <w:widowControl/>
              <w:spacing w:line="360" w:lineRule="auto"/>
              <w:jc w:val="left"/>
              <w:rPr>
                <w:rFonts w:hint="eastAsia"/>
                <w:kern w:val="0"/>
                <w:szCs w:val="21"/>
              </w:rPr>
            </w:pPr>
            <w:r>
              <w:rPr>
                <w:rFonts w:hint="eastAsia"/>
                <w:kern w:val="0"/>
                <w:szCs w:val="21"/>
              </w:rPr>
              <w:t>2.投标人对本项目的应用示范工程（小浪底水库大坝强震监测系统、濮阳白堽黄河公路大桥监测系统）建设提供的实施技术方案较合理，施工图较科学，重难点理解分析基本到位，计划基本完整，针对性一般，系统集成设计较为合理，得4分；</w:t>
            </w:r>
          </w:p>
          <w:p w14:paraId="0EE8E814">
            <w:pPr>
              <w:widowControl/>
              <w:spacing w:line="360" w:lineRule="auto"/>
              <w:jc w:val="left"/>
              <w:rPr>
                <w:rFonts w:hint="eastAsia"/>
                <w:kern w:val="0"/>
                <w:szCs w:val="21"/>
              </w:rPr>
            </w:pPr>
            <w:r>
              <w:rPr>
                <w:rFonts w:hint="eastAsia"/>
                <w:kern w:val="0"/>
                <w:szCs w:val="21"/>
              </w:rPr>
              <w:t>3.投标人对本项目的应用示范工程（小浪底水库大坝强震监测系统、濮阳白堽黄河公路大桥监测系统）建设提供的实施技术方案不合理，施工图不科学，重难点理解分析不到位，提供的计划不完整，针对性较差，系统集成设计不合理，得1分；</w:t>
            </w:r>
          </w:p>
          <w:p w14:paraId="181BEEAE">
            <w:pPr>
              <w:widowControl/>
              <w:spacing w:line="360" w:lineRule="auto"/>
              <w:jc w:val="left"/>
              <w:rPr>
                <w:rFonts w:hint="eastAsia"/>
                <w:kern w:val="0"/>
                <w:szCs w:val="21"/>
              </w:rPr>
            </w:pPr>
            <w:r>
              <w:rPr>
                <w:rFonts w:hint="eastAsia"/>
                <w:kern w:val="0"/>
                <w:szCs w:val="21"/>
              </w:rPr>
              <w:t>4.不提供相应建设方案，不得分。</w:t>
            </w:r>
          </w:p>
        </w:tc>
      </w:tr>
      <w:tr w14:paraId="4563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trPr>
        <w:tc>
          <w:tcPr>
            <w:tcW w:w="746" w:type="dxa"/>
            <w:vMerge w:val="continue"/>
            <w:vAlign w:val="center"/>
          </w:tcPr>
          <w:p w14:paraId="5B6419A8">
            <w:pPr>
              <w:widowControl/>
              <w:spacing w:line="360" w:lineRule="auto"/>
              <w:jc w:val="center"/>
              <w:rPr>
                <w:rFonts w:hint="eastAsia"/>
                <w:kern w:val="0"/>
                <w:szCs w:val="21"/>
              </w:rPr>
            </w:pPr>
          </w:p>
        </w:tc>
        <w:tc>
          <w:tcPr>
            <w:tcW w:w="1083" w:type="dxa"/>
            <w:vMerge w:val="continue"/>
            <w:vAlign w:val="center"/>
          </w:tcPr>
          <w:p w14:paraId="2A3920AB">
            <w:pPr>
              <w:widowControl/>
              <w:spacing w:line="360" w:lineRule="auto"/>
              <w:jc w:val="center"/>
              <w:rPr>
                <w:rFonts w:hint="eastAsia"/>
                <w:kern w:val="0"/>
                <w:szCs w:val="21"/>
              </w:rPr>
            </w:pPr>
          </w:p>
        </w:tc>
        <w:tc>
          <w:tcPr>
            <w:tcW w:w="2242" w:type="dxa"/>
            <w:vAlign w:val="center"/>
          </w:tcPr>
          <w:p w14:paraId="6CA71A68">
            <w:pPr>
              <w:tabs>
                <w:tab w:val="center" w:pos="4153"/>
                <w:tab w:val="right" w:pos="8306"/>
              </w:tabs>
              <w:snapToGrid w:val="0"/>
              <w:spacing w:line="360" w:lineRule="auto"/>
              <w:jc w:val="center"/>
              <w:rPr>
                <w:rFonts w:hint="eastAsia"/>
                <w:kern w:val="0"/>
                <w:szCs w:val="21"/>
              </w:rPr>
            </w:pPr>
            <w:r>
              <w:rPr>
                <w:rFonts w:hint="eastAsia"/>
                <w:kern w:val="0"/>
                <w:szCs w:val="21"/>
              </w:rPr>
              <w:t>设备选型5分</w:t>
            </w:r>
          </w:p>
        </w:tc>
        <w:tc>
          <w:tcPr>
            <w:tcW w:w="5687" w:type="dxa"/>
            <w:vAlign w:val="center"/>
          </w:tcPr>
          <w:p w14:paraId="61AD0343">
            <w:pPr>
              <w:widowControl/>
              <w:spacing w:line="360" w:lineRule="auto"/>
              <w:jc w:val="left"/>
              <w:rPr>
                <w:rFonts w:hint="eastAsia"/>
                <w:kern w:val="0"/>
                <w:szCs w:val="21"/>
              </w:rPr>
            </w:pPr>
            <w:r>
              <w:rPr>
                <w:rFonts w:hint="eastAsia"/>
                <w:kern w:val="0"/>
                <w:szCs w:val="21"/>
              </w:rPr>
              <w:t>投标人拟提供的设备（重大工程地震安全在线监测与健康诊断平台建设、小浪底水库大坝强震监测系统建设、濮阳白堽黄河公路大桥监测系统建设）选型，根据投标产品主要指标的综合评定等级（两部分）：</w:t>
            </w:r>
            <w:r>
              <w:rPr>
                <w:rFonts w:hint="eastAsia"/>
                <w:kern w:val="0"/>
                <w:szCs w:val="21"/>
              </w:rPr>
              <w:br w:type="textWrapping"/>
            </w:r>
            <w:r>
              <w:rPr>
                <w:rFonts w:hint="eastAsia"/>
                <w:kern w:val="0"/>
                <w:szCs w:val="21"/>
              </w:rPr>
              <w:t>（1）设备指标（包括：灵敏度、数据传输速率、稳定性、环境适应性、定位精确度、可靠性等内容进行描述）</w:t>
            </w:r>
            <w:r>
              <w:rPr>
                <w:rFonts w:hint="eastAsia"/>
                <w:kern w:val="0"/>
                <w:szCs w:val="21"/>
              </w:rPr>
              <w:br w:type="textWrapping"/>
            </w:r>
            <w:r>
              <w:rPr>
                <w:rFonts w:hint="eastAsia"/>
                <w:kern w:val="0"/>
                <w:szCs w:val="21"/>
              </w:rPr>
              <w:t xml:space="preserve">   包含以上所有内容且方案详细并符合实际情况的得3分，</w:t>
            </w:r>
            <w:r>
              <w:rPr>
                <w:rFonts w:hint="eastAsia"/>
                <w:kern w:val="0"/>
                <w:szCs w:val="21"/>
              </w:rPr>
              <w:br w:type="textWrapping"/>
            </w:r>
            <w:r>
              <w:rPr>
                <w:rFonts w:hint="eastAsia"/>
                <w:kern w:val="0"/>
                <w:szCs w:val="21"/>
              </w:rPr>
              <w:t>缺少1项此项不得分。每出现一处不够清晰或不够准确或不够完整的描述扣2分，扣完为止。</w:t>
            </w:r>
            <w:r>
              <w:rPr>
                <w:rFonts w:hint="eastAsia"/>
                <w:kern w:val="0"/>
                <w:szCs w:val="21"/>
              </w:rPr>
              <w:br w:type="textWrapping"/>
            </w:r>
            <w:r>
              <w:rPr>
                <w:rFonts w:hint="eastAsia"/>
                <w:kern w:val="0"/>
              </w:rPr>
              <w:t>（2）设备报告</w:t>
            </w:r>
            <w:r>
              <w:rPr>
                <w:rFonts w:hint="eastAsia"/>
                <w:kern w:val="0"/>
              </w:rPr>
              <w:br w:type="textWrapping"/>
            </w:r>
            <w:r>
              <w:rPr>
                <w:rFonts w:hint="eastAsia"/>
                <w:kern w:val="0"/>
              </w:rPr>
              <w:t xml:space="preserve">  能提供有效的第三方检测报告得2分；</w:t>
            </w:r>
            <w:r>
              <w:rPr>
                <w:rFonts w:hint="eastAsia"/>
                <w:kern w:val="0"/>
                <w:szCs w:val="21"/>
              </w:rPr>
              <w:br w:type="textWrapping"/>
            </w:r>
            <w:r>
              <w:rPr>
                <w:rFonts w:hint="eastAsia"/>
                <w:kern w:val="0"/>
                <w:szCs w:val="21"/>
              </w:rPr>
              <w:t xml:space="preserve">  未能提供设备报告的此项不得分。</w:t>
            </w:r>
          </w:p>
        </w:tc>
      </w:tr>
      <w:bookmarkEnd w:id="644"/>
      <w:tr w14:paraId="7B78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0344CEA0">
            <w:pPr>
              <w:widowControl/>
              <w:spacing w:line="360" w:lineRule="auto"/>
              <w:jc w:val="center"/>
              <w:rPr>
                <w:rFonts w:hint="eastAsia"/>
                <w:kern w:val="0"/>
                <w:szCs w:val="21"/>
              </w:rPr>
            </w:pPr>
            <w:bookmarkStart w:id="648" w:name="OLE_LINK18" w:colFirst="2" w:colLast="3"/>
          </w:p>
        </w:tc>
        <w:tc>
          <w:tcPr>
            <w:tcW w:w="1083" w:type="dxa"/>
            <w:vMerge w:val="continue"/>
            <w:vAlign w:val="center"/>
          </w:tcPr>
          <w:p w14:paraId="01B786C0">
            <w:pPr>
              <w:widowControl/>
              <w:spacing w:line="360" w:lineRule="auto"/>
              <w:jc w:val="center"/>
              <w:rPr>
                <w:rFonts w:hint="eastAsia"/>
                <w:kern w:val="0"/>
                <w:szCs w:val="21"/>
              </w:rPr>
            </w:pPr>
          </w:p>
        </w:tc>
        <w:tc>
          <w:tcPr>
            <w:tcW w:w="2242" w:type="dxa"/>
            <w:vAlign w:val="center"/>
          </w:tcPr>
          <w:p w14:paraId="78B9372F">
            <w:pPr>
              <w:tabs>
                <w:tab w:val="center" w:pos="4153"/>
                <w:tab w:val="right" w:pos="8306"/>
              </w:tabs>
              <w:snapToGrid w:val="0"/>
              <w:spacing w:line="360" w:lineRule="auto"/>
              <w:jc w:val="center"/>
              <w:rPr>
                <w:rFonts w:hint="eastAsia" w:eastAsia="仿宋"/>
                <w:kern w:val="0"/>
                <w:szCs w:val="21"/>
              </w:rPr>
            </w:pPr>
            <w:r>
              <w:rPr>
                <w:rFonts w:hint="eastAsia"/>
                <w:kern w:val="0"/>
                <w:szCs w:val="21"/>
              </w:rPr>
              <w:t>供货保障方案2分</w:t>
            </w:r>
          </w:p>
        </w:tc>
        <w:tc>
          <w:tcPr>
            <w:tcW w:w="5687" w:type="dxa"/>
            <w:vAlign w:val="center"/>
          </w:tcPr>
          <w:p w14:paraId="74870931">
            <w:pPr>
              <w:widowControl/>
              <w:spacing w:line="360" w:lineRule="auto"/>
              <w:jc w:val="left"/>
              <w:rPr>
                <w:rFonts w:hint="eastAsia"/>
                <w:kern w:val="0"/>
                <w:szCs w:val="21"/>
              </w:rPr>
            </w:pPr>
            <w:r>
              <w:rPr>
                <w:rFonts w:hint="eastAsia"/>
                <w:kern w:val="0"/>
                <w:szCs w:val="21"/>
              </w:rPr>
              <w:t>匹配项目执行进度，设计并提供明确的、科学合理的现场供货计划，包括但不限于货物数量、运输方式、运输时效、过程管控、保障措施等。以上内容完善、可实施性强得2分；提供了相应内容，内容基本完善，可实施性一般得1分；提供了相应内容，但对本项目缺乏针对性或可实施性不够得0.5分。未提供不得分。</w:t>
            </w:r>
          </w:p>
        </w:tc>
      </w:tr>
      <w:tr w14:paraId="4E9D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5B4ED694">
            <w:pPr>
              <w:widowControl/>
              <w:spacing w:line="360" w:lineRule="auto"/>
              <w:jc w:val="center"/>
              <w:rPr>
                <w:rFonts w:hint="eastAsia"/>
                <w:kern w:val="0"/>
                <w:szCs w:val="21"/>
              </w:rPr>
            </w:pPr>
          </w:p>
        </w:tc>
        <w:tc>
          <w:tcPr>
            <w:tcW w:w="1083" w:type="dxa"/>
            <w:vMerge w:val="continue"/>
            <w:vAlign w:val="center"/>
          </w:tcPr>
          <w:p w14:paraId="7A8AC5C0">
            <w:pPr>
              <w:widowControl/>
              <w:spacing w:line="360" w:lineRule="auto"/>
              <w:jc w:val="center"/>
              <w:rPr>
                <w:rFonts w:hint="eastAsia"/>
                <w:kern w:val="0"/>
                <w:szCs w:val="21"/>
              </w:rPr>
            </w:pPr>
          </w:p>
        </w:tc>
        <w:tc>
          <w:tcPr>
            <w:tcW w:w="2242" w:type="dxa"/>
            <w:vAlign w:val="center"/>
          </w:tcPr>
          <w:p w14:paraId="38D15CB9">
            <w:pPr>
              <w:tabs>
                <w:tab w:val="center" w:pos="4153"/>
                <w:tab w:val="right" w:pos="8306"/>
              </w:tabs>
              <w:snapToGrid w:val="0"/>
              <w:spacing w:line="360" w:lineRule="auto"/>
              <w:jc w:val="center"/>
              <w:rPr>
                <w:rFonts w:hint="eastAsia"/>
                <w:kern w:val="0"/>
                <w:szCs w:val="21"/>
              </w:rPr>
            </w:pPr>
            <w:r>
              <w:rPr>
                <w:rFonts w:hint="eastAsia"/>
                <w:kern w:val="0"/>
                <w:szCs w:val="21"/>
              </w:rPr>
              <w:t>质保期4分</w:t>
            </w:r>
          </w:p>
        </w:tc>
        <w:tc>
          <w:tcPr>
            <w:tcW w:w="5687" w:type="dxa"/>
            <w:vAlign w:val="center"/>
          </w:tcPr>
          <w:p w14:paraId="52DEF65B">
            <w:pPr>
              <w:widowControl/>
              <w:spacing w:line="360" w:lineRule="auto"/>
              <w:jc w:val="left"/>
              <w:rPr>
                <w:rFonts w:hint="eastAsia"/>
                <w:kern w:val="0"/>
                <w:szCs w:val="21"/>
              </w:rPr>
            </w:pPr>
            <w:r>
              <w:rPr>
                <w:rFonts w:hint="eastAsia"/>
                <w:kern w:val="0"/>
                <w:szCs w:val="21"/>
              </w:rPr>
              <w:t>投标人承诺提供的质保期在采购文件要求的基础上，每延长1年加2分，最多加4分。</w:t>
            </w:r>
          </w:p>
        </w:tc>
      </w:tr>
      <w:tr w14:paraId="3EA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1742ADFB">
            <w:pPr>
              <w:widowControl/>
              <w:spacing w:line="360" w:lineRule="auto"/>
              <w:jc w:val="center"/>
              <w:rPr>
                <w:rFonts w:hint="eastAsia"/>
                <w:kern w:val="0"/>
                <w:szCs w:val="21"/>
              </w:rPr>
            </w:pPr>
          </w:p>
        </w:tc>
        <w:tc>
          <w:tcPr>
            <w:tcW w:w="1083" w:type="dxa"/>
            <w:vMerge w:val="continue"/>
            <w:vAlign w:val="center"/>
          </w:tcPr>
          <w:p w14:paraId="74193F50">
            <w:pPr>
              <w:widowControl/>
              <w:spacing w:line="360" w:lineRule="auto"/>
              <w:jc w:val="center"/>
              <w:rPr>
                <w:rFonts w:hint="eastAsia"/>
                <w:kern w:val="0"/>
                <w:szCs w:val="21"/>
              </w:rPr>
            </w:pPr>
          </w:p>
        </w:tc>
        <w:tc>
          <w:tcPr>
            <w:tcW w:w="2242" w:type="dxa"/>
            <w:vAlign w:val="center"/>
          </w:tcPr>
          <w:p w14:paraId="079EC4B2">
            <w:pPr>
              <w:widowControl/>
              <w:spacing w:line="360" w:lineRule="auto"/>
              <w:jc w:val="left"/>
              <w:rPr>
                <w:rFonts w:hint="eastAsia"/>
                <w:kern w:val="0"/>
                <w:szCs w:val="21"/>
              </w:rPr>
            </w:pPr>
            <w:bookmarkStart w:id="649" w:name="_Hlk205907110"/>
            <w:r>
              <w:rPr>
                <w:rFonts w:hint="eastAsia"/>
                <w:kern w:val="0"/>
                <w:szCs w:val="21"/>
              </w:rPr>
              <w:t>进度控制方案</w:t>
            </w:r>
            <w:bookmarkEnd w:id="649"/>
            <w:r>
              <w:rPr>
                <w:rFonts w:hint="eastAsia"/>
                <w:kern w:val="0"/>
                <w:szCs w:val="21"/>
              </w:rPr>
              <w:t>3分</w:t>
            </w:r>
          </w:p>
        </w:tc>
        <w:tc>
          <w:tcPr>
            <w:tcW w:w="5687" w:type="dxa"/>
            <w:vAlign w:val="center"/>
          </w:tcPr>
          <w:p w14:paraId="70EC920A">
            <w:pPr>
              <w:widowControl/>
              <w:spacing w:line="360" w:lineRule="auto"/>
              <w:jc w:val="left"/>
              <w:rPr>
                <w:rFonts w:hint="eastAsia"/>
                <w:kern w:val="0"/>
                <w:szCs w:val="21"/>
              </w:rPr>
            </w:pPr>
            <w:r>
              <w:rPr>
                <w:rFonts w:hint="eastAsia"/>
                <w:kern w:val="0"/>
                <w:szCs w:val="21"/>
              </w:rPr>
              <w:t>进度控制方案有分解的控制节点、为保障整体进度的相应措施及手段，合理可行，针对性强的得3分；基本合理可行，有一定针对性得1分；有较大欠缺，可行性较低得0.5分；未提供不得分。</w:t>
            </w:r>
          </w:p>
        </w:tc>
      </w:tr>
      <w:tr w14:paraId="28F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541BDC5A">
            <w:pPr>
              <w:widowControl/>
              <w:spacing w:line="360" w:lineRule="auto"/>
              <w:jc w:val="center"/>
              <w:rPr>
                <w:rFonts w:hint="eastAsia"/>
                <w:kern w:val="0"/>
                <w:szCs w:val="21"/>
              </w:rPr>
            </w:pPr>
          </w:p>
        </w:tc>
        <w:tc>
          <w:tcPr>
            <w:tcW w:w="1083" w:type="dxa"/>
            <w:vMerge w:val="continue"/>
            <w:vAlign w:val="center"/>
          </w:tcPr>
          <w:p w14:paraId="4BE13A5E">
            <w:pPr>
              <w:widowControl/>
              <w:spacing w:line="360" w:lineRule="auto"/>
              <w:jc w:val="center"/>
              <w:rPr>
                <w:rFonts w:hint="eastAsia"/>
                <w:kern w:val="0"/>
                <w:szCs w:val="21"/>
              </w:rPr>
            </w:pPr>
          </w:p>
        </w:tc>
        <w:tc>
          <w:tcPr>
            <w:tcW w:w="2242" w:type="dxa"/>
            <w:vAlign w:val="center"/>
          </w:tcPr>
          <w:p w14:paraId="1A89018A">
            <w:pPr>
              <w:tabs>
                <w:tab w:val="center" w:pos="4153"/>
                <w:tab w:val="right" w:pos="8306"/>
              </w:tabs>
              <w:snapToGrid w:val="0"/>
              <w:spacing w:line="360" w:lineRule="auto"/>
              <w:jc w:val="center"/>
              <w:rPr>
                <w:rFonts w:hint="eastAsia"/>
                <w:kern w:val="0"/>
                <w:szCs w:val="21"/>
              </w:rPr>
            </w:pPr>
            <w:r>
              <w:rPr>
                <w:rFonts w:hint="eastAsia"/>
                <w:kern w:val="0"/>
                <w:szCs w:val="21"/>
              </w:rPr>
              <w:t>安全管理方案3分</w:t>
            </w:r>
          </w:p>
        </w:tc>
        <w:tc>
          <w:tcPr>
            <w:tcW w:w="5687" w:type="dxa"/>
            <w:vAlign w:val="center"/>
          </w:tcPr>
          <w:p w14:paraId="150CD95C">
            <w:pPr>
              <w:widowControl/>
              <w:spacing w:line="360" w:lineRule="auto"/>
              <w:jc w:val="left"/>
              <w:rPr>
                <w:rFonts w:hint="eastAsia"/>
                <w:kern w:val="0"/>
                <w:szCs w:val="21"/>
              </w:rPr>
            </w:pPr>
            <w:r>
              <w:rPr>
                <w:rFonts w:hint="eastAsia"/>
                <w:kern w:val="0"/>
                <w:szCs w:val="21"/>
              </w:rPr>
              <w:t>项目安全管理方案关于安全计划、目标、措施、规定等内容。方案设计合理且现场布置合理，完全符合安全及文明施工要求得3分；内容较完整，有具体安全实施措施得1分；内容基本完整，具体实施措施基本可行得0.5分；其他不得分。</w:t>
            </w:r>
          </w:p>
        </w:tc>
      </w:tr>
      <w:tr w14:paraId="0FEC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vAlign w:val="center"/>
          </w:tcPr>
          <w:p w14:paraId="50250C53">
            <w:pPr>
              <w:widowControl/>
              <w:spacing w:line="360" w:lineRule="auto"/>
              <w:jc w:val="center"/>
              <w:rPr>
                <w:rFonts w:hint="eastAsia"/>
                <w:kern w:val="0"/>
                <w:szCs w:val="21"/>
              </w:rPr>
            </w:pPr>
          </w:p>
        </w:tc>
        <w:tc>
          <w:tcPr>
            <w:tcW w:w="1083" w:type="dxa"/>
            <w:vMerge w:val="continue"/>
            <w:vAlign w:val="center"/>
          </w:tcPr>
          <w:p w14:paraId="3856AD09">
            <w:pPr>
              <w:widowControl/>
              <w:spacing w:line="360" w:lineRule="auto"/>
              <w:jc w:val="center"/>
              <w:rPr>
                <w:rFonts w:hint="eastAsia"/>
                <w:kern w:val="0"/>
                <w:szCs w:val="21"/>
              </w:rPr>
            </w:pPr>
          </w:p>
        </w:tc>
        <w:tc>
          <w:tcPr>
            <w:tcW w:w="2242" w:type="dxa"/>
            <w:vAlign w:val="center"/>
          </w:tcPr>
          <w:p w14:paraId="703906C9">
            <w:pPr>
              <w:tabs>
                <w:tab w:val="center" w:pos="4153"/>
                <w:tab w:val="right" w:pos="8306"/>
              </w:tabs>
              <w:snapToGrid w:val="0"/>
              <w:spacing w:line="360" w:lineRule="auto"/>
              <w:jc w:val="center"/>
              <w:rPr>
                <w:rFonts w:hint="eastAsia"/>
                <w:sz w:val="22"/>
                <w:szCs w:val="22"/>
                <w:lang w:bidi="ar"/>
              </w:rPr>
            </w:pPr>
            <w:r>
              <w:rPr>
                <w:rFonts w:hint="eastAsia"/>
                <w:kern w:val="0"/>
                <w:szCs w:val="21"/>
              </w:rPr>
              <w:t>技术培训3分</w:t>
            </w:r>
          </w:p>
        </w:tc>
        <w:tc>
          <w:tcPr>
            <w:tcW w:w="5687" w:type="dxa"/>
            <w:vAlign w:val="center"/>
          </w:tcPr>
          <w:p w14:paraId="56C64906">
            <w:pPr>
              <w:widowControl/>
              <w:spacing w:line="360" w:lineRule="auto"/>
              <w:jc w:val="left"/>
              <w:rPr>
                <w:rFonts w:hint="eastAsia"/>
                <w:kern w:val="0"/>
                <w:szCs w:val="21"/>
              </w:rPr>
            </w:pPr>
            <w:r>
              <w:rPr>
                <w:rFonts w:hint="eastAsia"/>
                <w:kern w:val="0"/>
                <w:szCs w:val="21"/>
              </w:rPr>
              <w:t>有明确的培训实施计划、培训人员保障，以上内容完善、可实施性强得3分，提供了相应内容，内容基本完善，可实施性一般得1分，提供了相应内容，但对本项目缺乏针对性或可实施性不够得0.5分。未提供不得分。</w:t>
            </w:r>
          </w:p>
        </w:tc>
      </w:tr>
      <w:tr w14:paraId="3094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46" w:type="dxa"/>
            <w:vMerge w:val="continue"/>
            <w:vAlign w:val="center"/>
          </w:tcPr>
          <w:p w14:paraId="79ACF99E">
            <w:pPr>
              <w:widowControl/>
              <w:spacing w:line="360" w:lineRule="auto"/>
              <w:jc w:val="center"/>
              <w:rPr>
                <w:rFonts w:hint="eastAsia"/>
                <w:kern w:val="0"/>
                <w:szCs w:val="21"/>
              </w:rPr>
            </w:pPr>
          </w:p>
        </w:tc>
        <w:tc>
          <w:tcPr>
            <w:tcW w:w="1083" w:type="dxa"/>
            <w:vMerge w:val="continue"/>
            <w:vAlign w:val="center"/>
          </w:tcPr>
          <w:p w14:paraId="7BF1243F">
            <w:pPr>
              <w:widowControl/>
              <w:spacing w:line="360" w:lineRule="auto"/>
              <w:jc w:val="center"/>
              <w:rPr>
                <w:rFonts w:hint="eastAsia"/>
                <w:kern w:val="0"/>
                <w:szCs w:val="21"/>
              </w:rPr>
            </w:pPr>
          </w:p>
        </w:tc>
        <w:tc>
          <w:tcPr>
            <w:tcW w:w="2242" w:type="dxa"/>
            <w:vAlign w:val="center"/>
          </w:tcPr>
          <w:p w14:paraId="6D087CD8">
            <w:pPr>
              <w:widowControl/>
              <w:spacing w:line="360" w:lineRule="auto"/>
              <w:jc w:val="center"/>
              <w:rPr>
                <w:rFonts w:hint="eastAsia"/>
                <w:kern w:val="0"/>
                <w:szCs w:val="21"/>
              </w:rPr>
            </w:pPr>
            <w:r>
              <w:rPr>
                <w:rFonts w:hint="eastAsia"/>
                <w:kern w:val="0"/>
                <w:szCs w:val="21"/>
              </w:rPr>
              <w:t>售后服务4分</w:t>
            </w:r>
          </w:p>
        </w:tc>
        <w:tc>
          <w:tcPr>
            <w:tcW w:w="5687" w:type="dxa"/>
            <w:vAlign w:val="center"/>
          </w:tcPr>
          <w:p w14:paraId="79AA6353">
            <w:pPr>
              <w:widowControl/>
              <w:spacing w:line="360" w:lineRule="auto"/>
              <w:jc w:val="left"/>
              <w:rPr>
                <w:rFonts w:hint="eastAsia"/>
                <w:kern w:val="0"/>
                <w:szCs w:val="21"/>
              </w:rPr>
            </w:pPr>
          </w:p>
          <w:p w14:paraId="18B166E8">
            <w:pPr>
              <w:widowControl/>
              <w:spacing w:line="360" w:lineRule="auto"/>
              <w:jc w:val="left"/>
              <w:rPr>
                <w:rFonts w:hint="eastAsia"/>
                <w:kern w:val="0"/>
                <w:szCs w:val="21"/>
              </w:rPr>
            </w:pPr>
            <w:r>
              <w:rPr>
                <w:rFonts w:hint="eastAsia"/>
                <w:kern w:val="0"/>
                <w:szCs w:val="21"/>
              </w:rPr>
              <w:t>根据投标人提供的质保期内、外售后服务方案，包括但不限于质保期内、外的售后计划安排、内容、形式、故障响应时间、到达现场响应时间、应急维修措施等方案。按以下标准进行评审：</w:t>
            </w:r>
          </w:p>
          <w:p w14:paraId="68C5A094">
            <w:pPr>
              <w:widowControl/>
              <w:spacing w:line="360" w:lineRule="auto"/>
              <w:jc w:val="left"/>
              <w:rPr>
                <w:rFonts w:hint="eastAsia"/>
                <w:kern w:val="0"/>
                <w:szCs w:val="21"/>
              </w:rPr>
            </w:pPr>
            <w:r>
              <w:rPr>
                <w:rFonts w:hint="eastAsia"/>
                <w:kern w:val="0"/>
                <w:szCs w:val="21"/>
              </w:rPr>
              <w:t>1.方案内容全面详尽、考虑周全，完全满足或优于采购人需求，科学完整、合理，得 4 分；</w:t>
            </w:r>
          </w:p>
          <w:p w14:paraId="00AE46DB">
            <w:pPr>
              <w:widowControl/>
              <w:spacing w:line="360" w:lineRule="auto"/>
              <w:jc w:val="left"/>
              <w:rPr>
                <w:rFonts w:hint="eastAsia"/>
                <w:kern w:val="0"/>
                <w:szCs w:val="21"/>
              </w:rPr>
            </w:pPr>
            <w:r>
              <w:rPr>
                <w:rFonts w:hint="eastAsia"/>
                <w:kern w:val="0"/>
                <w:szCs w:val="21"/>
              </w:rPr>
              <w:t>2.方案内容较为全面详尽、考虑周全，较能满足采购人需求，较为科学完整合理，得 2 分；</w:t>
            </w:r>
          </w:p>
          <w:p w14:paraId="38E0E10D">
            <w:pPr>
              <w:widowControl/>
              <w:spacing w:line="360" w:lineRule="auto"/>
              <w:jc w:val="left"/>
              <w:rPr>
                <w:rFonts w:hint="eastAsia"/>
                <w:kern w:val="0"/>
                <w:szCs w:val="21"/>
              </w:rPr>
            </w:pPr>
            <w:r>
              <w:rPr>
                <w:rFonts w:hint="eastAsia"/>
                <w:kern w:val="0"/>
                <w:szCs w:val="21"/>
              </w:rPr>
              <w:t>3.方案内容不全面、操作性一般的得 1 分；</w:t>
            </w:r>
          </w:p>
          <w:p w14:paraId="262690FC">
            <w:pPr>
              <w:widowControl/>
              <w:spacing w:line="360" w:lineRule="auto"/>
              <w:jc w:val="left"/>
              <w:rPr>
                <w:rFonts w:hint="eastAsia"/>
                <w:kern w:val="0"/>
                <w:szCs w:val="21"/>
              </w:rPr>
            </w:pPr>
            <w:r>
              <w:rPr>
                <w:rFonts w:hint="eastAsia"/>
                <w:kern w:val="0"/>
                <w:szCs w:val="21"/>
              </w:rPr>
              <w:t>4.未提供的不得分。</w:t>
            </w:r>
          </w:p>
        </w:tc>
      </w:tr>
      <w:bookmarkEnd w:id="645"/>
      <w:bookmarkEnd w:id="648"/>
    </w:tbl>
    <w:p w14:paraId="57089E53">
      <w:pPr>
        <w:spacing w:line="360" w:lineRule="auto"/>
        <w:rPr>
          <w:rFonts w:hint="eastAsia"/>
        </w:rPr>
      </w:pPr>
    </w:p>
    <w:p w14:paraId="00AEB8C3">
      <w:pPr>
        <w:pStyle w:val="4"/>
        <w:numPr>
          <w:ilvl w:val="0"/>
          <w:numId w:val="16"/>
        </w:numPr>
        <w:rPr>
          <w:rFonts w:hint="eastAsia"/>
          <w:sz w:val="24"/>
          <w:szCs w:val="24"/>
        </w:rPr>
        <w:sectPr>
          <w:pgSz w:w="11906" w:h="16838"/>
          <w:pgMar w:top="1417" w:right="1417" w:bottom="1417" w:left="1417" w:header="777" w:footer="641" w:gutter="0"/>
          <w:cols w:space="720" w:num="1"/>
          <w:docGrid w:linePitch="1" w:charSpace="0"/>
        </w:sectPr>
      </w:pPr>
      <w:bookmarkStart w:id="650" w:name="_Toc9836"/>
    </w:p>
    <w:p w14:paraId="49F2C5D0">
      <w:pPr>
        <w:pStyle w:val="4"/>
        <w:numPr>
          <w:ilvl w:val="0"/>
          <w:numId w:val="16"/>
        </w:numPr>
        <w:rPr>
          <w:rFonts w:hint="eastAsia"/>
          <w:sz w:val="24"/>
          <w:szCs w:val="24"/>
        </w:rPr>
      </w:pPr>
      <w:bookmarkStart w:id="651" w:name="_Toc25637"/>
      <w:bookmarkStart w:id="652" w:name="_Toc17199"/>
      <w:bookmarkStart w:id="653" w:name="_Toc13371"/>
      <w:bookmarkStart w:id="654" w:name="_Toc26522"/>
      <w:bookmarkStart w:id="655" w:name="_Toc20167"/>
      <w:bookmarkStart w:id="656" w:name="_Toc30636"/>
      <w:bookmarkStart w:id="657" w:name="_Toc31078"/>
      <w:bookmarkStart w:id="658" w:name="_Toc31999"/>
      <w:bookmarkStart w:id="659" w:name="_Toc3242"/>
      <w:bookmarkStart w:id="660" w:name="_Toc12476"/>
      <w:r>
        <w:rPr>
          <w:rFonts w:hint="eastAsia"/>
          <w:sz w:val="24"/>
          <w:szCs w:val="24"/>
        </w:rPr>
        <w:t>评标办法</w:t>
      </w:r>
      <w:bookmarkEnd w:id="650"/>
      <w:bookmarkEnd w:id="651"/>
      <w:bookmarkEnd w:id="652"/>
      <w:bookmarkEnd w:id="653"/>
      <w:bookmarkEnd w:id="654"/>
      <w:bookmarkEnd w:id="655"/>
      <w:bookmarkEnd w:id="656"/>
      <w:bookmarkEnd w:id="657"/>
      <w:bookmarkEnd w:id="658"/>
      <w:bookmarkEnd w:id="659"/>
      <w:bookmarkEnd w:id="660"/>
    </w:p>
    <w:p w14:paraId="019BA684">
      <w:pPr>
        <w:autoSpaceDE w:val="0"/>
        <w:autoSpaceDN w:val="0"/>
        <w:adjustRightInd w:val="0"/>
        <w:spacing w:line="360" w:lineRule="auto"/>
        <w:ind w:right="-23" w:firstLine="420" w:firstLineChars="200"/>
        <w:jc w:val="left"/>
        <w:rPr>
          <w:rFonts w:hint="eastAsia"/>
          <w:kern w:val="0"/>
          <w:szCs w:val="21"/>
        </w:rPr>
      </w:pPr>
      <w:r>
        <w:rPr>
          <w:rFonts w:hint="eastAsia"/>
          <w:kern w:val="0"/>
          <w:szCs w:val="21"/>
        </w:rPr>
        <w:t>本次招标采用综合评分法评标，投标文件满足招标文件全部实质性要求，且按照评审因素的量化指标评审综合得分由高到低顺序推荐为中标候选人的评审方法。</w:t>
      </w:r>
    </w:p>
    <w:p w14:paraId="4B4FCEC0">
      <w:pPr>
        <w:pStyle w:val="4"/>
        <w:numPr>
          <w:ilvl w:val="0"/>
          <w:numId w:val="16"/>
        </w:numPr>
        <w:rPr>
          <w:rFonts w:hint="eastAsia"/>
          <w:sz w:val="24"/>
          <w:szCs w:val="24"/>
        </w:rPr>
      </w:pPr>
      <w:bookmarkStart w:id="661" w:name="_Toc30895"/>
      <w:bookmarkStart w:id="662" w:name="_Toc26533"/>
      <w:bookmarkStart w:id="663" w:name="_Toc6135"/>
      <w:bookmarkStart w:id="664" w:name="_Toc17219"/>
      <w:bookmarkStart w:id="665" w:name="_Toc28719"/>
      <w:bookmarkStart w:id="666" w:name="_Toc3406"/>
      <w:bookmarkStart w:id="667" w:name="_Toc4003"/>
      <w:bookmarkStart w:id="668" w:name="_Toc30234"/>
      <w:bookmarkStart w:id="669" w:name="_Toc5920"/>
      <w:bookmarkStart w:id="670" w:name="_Toc13454"/>
      <w:bookmarkStart w:id="671" w:name="_Toc13023"/>
      <w:r>
        <w:rPr>
          <w:rFonts w:hint="eastAsia"/>
          <w:sz w:val="24"/>
          <w:szCs w:val="24"/>
        </w:rPr>
        <w:t>评审标准</w:t>
      </w:r>
      <w:bookmarkEnd w:id="661"/>
      <w:bookmarkEnd w:id="662"/>
      <w:bookmarkEnd w:id="663"/>
      <w:bookmarkEnd w:id="664"/>
      <w:bookmarkEnd w:id="665"/>
      <w:bookmarkEnd w:id="666"/>
      <w:bookmarkEnd w:id="667"/>
      <w:bookmarkEnd w:id="668"/>
      <w:bookmarkEnd w:id="669"/>
      <w:bookmarkEnd w:id="670"/>
      <w:bookmarkEnd w:id="671"/>
    </w:p>
    <w:p w14:paraId="4FBB6974">
      <w:pPr>
        <w:pStyle w:val="4"/>
        <w:rPr>
          <w:rFonts w:hint="eastAsia"/>
        </w:rPr>
      </w:pPr>
      <w:bookmarkStart w:id="672" w:name="_Toc2477"/>
      <w:bookmarkStart w:id="673" w:name="_Toc318"/>
      <w:bookmarkStart w:id="674" w:name="_Toc4247"/>
      <w:bookmarkStart w:id="675" w:name="_Toc12758"/>
      <w:bookmarkStart w:id="676" w:name="_Toc24699"/>
      <w:bookmarkStart w:id="677" w:name="_Toc21567"/>
      <w:bookmarkStart w:id="678" w:name="_Toc20701"/>
      <w:bookmarkStart w:id="679" w:name="_Toc8479"/>
      <w:bookmarkStart w:id="680" w:name="_Toc14180"/>
      <w:bookmarkStart w:id="681" w:name="_Toc12847"/>
      <w:bookmarkStart w:id="682" w:name="_Toc21223"/>
      <w:r>
        <w:rPr>
          <w:rFonts w:hint="eastAsia"/>
        </w:rPr>
        <w:t>2.1 符合性评审</w:t>
      </w:r>
      <w:bookmarkEnd w:id="672"/>
      <w:bookmarkEnd w:id="673"/>
      <w:bookmarkEnd w:id="674"/>
      <w:bookmarkEnd w:id="675"/>
      <w:bookmarkEnd w:id="676"/>
      <w:bookmarkEnd w:id="677"/>
      <w:bookmarkEnd w:id="678"/>
      <w:bookmarkEnd w:id="679"/>
      <w:bookmarkEnd w:id="680"/>
      <w:bookmarkEnd w:id="681"/>
      <w:bookmarkEnd w:id="682"/>
    </w:p>
    <w:p w14:paraId="63C953F1">
      <w:pPr>
        <w:autoSpaceDE w:val="0"/>
        <w:autoSpaceDN w:val="0"/>
        <w:adjustRightInd w:val="0"/>
        <w:spacing w:line="360" w:lineRule="auto"/>
        <w:ind w:left="522" w:right="-23"/>
        <w:jc w:val="left"/>
        <w:rPr>
          <w:rFonts w:hint="eastAsia"/>
          <w:kern w:val="0"/>
          <w:szCs w:val="21"/>
        </w:rPr>
      </w:pPr>
      <w:r>
        <w:rPr>
          <w:rFonts w:hint="eastAsia"/>
          <w:kern w:val="0"/>
          <w:szCs w:val="21"/>
        </w:rPr>
        <w:t>符合性审查标准：见评标办法前附表。</w:t>
      </w:r>
    </w:p>
    <w:p w14:paraId="3DA6255C">
      <w:pPr>
        <w:pStyle w:val="4"/>
        <w:rPr>
          <w:rFonts w:hint="eastAsia"/>
        </w:rPr>
      </w:pPr>
      <w:bookmarkStart w:id="683" w:name="_Toc10856"/>
      <w:bookmarkStart w:id="684" w:name="_Toc5467"/>
      <w:bookmarkStart w:id="685" w:name="_Toc22464"/>
      <w:bookmarkStart w:id="686" w:name="_Toc31651"/>
      <w:bookmarkStart w:id="687" w:name="_Toc28336"/>
      <w:bookmarkStart w:id="688" w:name="_Toc7259"/>
      <w:bookmarkStart w:id="689" w:name="_Toc29139"/>
      <w:bookmarkStart w:id="690" w:name="_Toc16256"/>
      <w:bookmarkStart w:id="691" w:name="_Toc17735"/>
      <w:bookmarkStart w:id="692" w:name="_Toc27094"/>
      <w:bookmarkStart w:id="693" w:name="_Toc6724"/>
      <w:r>
        <w:rPr>
          <w:rFonts w:hint="eastAsia"/>
        </w:rPr>
        <w:t>2.2 分值构成与评分标准</w:t>
      </w:r>
      <w:bookmarkEnd w:id="683"/>
      <w:bookmarkEnd w:id="684"/>
      <w:bookmarkEnd w:id="685"/>
      <w:bookmarkEnd w:id="686"/>
      <w:bookmarkEnd w:id="687"/>
      <w:bookmarkEnd w:id="688"/>
      <w:bookmarkEnd w:id="689"/>
      <w:bookmarkEnd w:id="690"/>
      <w:bookmarkEnd w:id="691"/>
      <w:bookmarkEnd w:id="692"/>
      <w:bookmarkEnd w:id="693"/>
    </w:p>
    <w:p w14:paraId="29F407F9">
      <w:pPr>
        <w:autoSpaceDE w:val="0"/>
        <w:autoSpaceDN w:val="0"/>
        <w:adjustRightInd w:val="0"/>
        <w:spacing w:line="360" w:lineRule="auto"/>
        <w:ind w:left="520" w:right="-20"/>
        <w:jc w:val="left"/>
        <w:rPr>
          <w:rFonts w:hint="eastAsia"/>
          <w:kern w:val="0"/>
          <w:szCs w:val="21"/>
        </w:rPr>
      </w:pPr>
      <w:r>
        <w:rPr>
          <w:rFonts w:hint="eastAsia"/>
          <w:kern w:val="0"/>
          <w:szCs w:val="21"/>
        </w:rPr>
        <w:t>2.2.1 分</w:t>
      </w:r>
      <w:r>
        <w:rPr>
          <w:rFonts w:hint="eastAsia"/>
          <w:spacing w:val="-2"/>
          <w:kern w:val="0"/>
          <w:szCs w:val="21"/>
        </w:rPr>
        <w:t>值</w:t>
      </w:r>
      <w:r>
        <w:rPr>
          <w:rFonts w:hint="eastAsia"/>
          <w:kern w:val="0"/>
          <w:szCs w:val="21"/>
        </w:rPr>
        <w:t>构成</w:t>
      </w:r>
    </w:p>
    <w:p w14:paraId="11E2B539">
      <w:pPr>
        <w:numPr>
          <w:ilvl w:val="0"/>
          <w:numId w:val="1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投标报价：见评标办法前附表；</w:t>
      </w:r>
    </w:p>
    <w:p w14:paraId="414F1669">
      <w:pPr>
        <w:numPr>
          <w:ilvl w:val="0"/>
          <w:numId w:val="1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技术部分：见评标办法前附表；</w:t>
      </w:r>
    </w:p>
    <w:p w14:paraId="121B97A8">
      <w:pPr>
        <w:numPr>
          <w:ilvl w:val="0"/>
          <w:numId w:val="17"/>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商务部分：见评标办法前附表；</w:t>
      </w:r>
    </w:p>
    <w:p w14:paraId="4795D5E2">
      <w:pPr>
        <w:autoSpaceDE w:val="0"/>
        <w:autoSpaceDN w:val="0"/>
        <w:adjustRightInd w:val="0"/>
        <w:spacing w:before="7" w:line="360" w:lineRule="auto"/>
        <w:ind w:left="520" w:right="-20"/>
        <w:jc w:val="left"/>
        <w:rPr>
          <w:rFonts w:hint="eastAsia"/>
          <w:kern w:val="0"/>
          <w:szCs w:val="21"/>
        </w:rPr>
      </w:pPr>
      <w:r>
        <w:rPr>
          <w:rFonts w:hint="eastAsia"/>
          <w:kern w:val="0"/>
          <w:szCs w:val="21"/>
        </w:rPr>
        <w:t>2.2.2 评</w:t>
      </w:r>
      <w:r>
        <w:rPr>
          <w:rFonts w:hint="eastAsia"/>
          <w:spacing w:val="-2"/>
          <w:kern w:val="0"/>
          <w:szCs w:val="21"/>
        </w:rPr>
        <w:t>分</w:t>
      </w:r>
      <w:r>
        <w:rPr>
          <w:rFonts w:hint="eastAsia"/>
          <w:kern w:val="0"/>
          <w:szCs w:val="21"/>
        </w:rPr>
        <w:t>标准</w:t>
      </w:r>
    </w:p>
    <w:p w14:paraId="5A3B0E60">
      <w:pPr>
        <w:numPr>
          <w:ilvl w:val="0"/>
          <w:numId w:val="1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投标报价评分标准：见评标办法前附表；</w:t>
      </w:r>
    </w:p>
    <w:p w14:paraId="26A35976">
      <w:pPr>
        <w:numPr>
          <w:ilvl w:val="0"/>
          <w:numId w:val="1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技术评分标准：见评标办法前附表；</w:t>
      </w:r>
    </w:p>
    <w:p w14:paraId="63ABBC83">
      <w:pPr>
        <w:numPr>
          <w:ilvl w:val="0"/>
          <w:numId w:val="18"/>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商务评分标准：见评标办法前附表；</w:t>
      </w:r>
    </w:p>
    <w:p w14:paraId="4E6BD3B7">
      <w:pPr>
        <w:pStyle w:val="4"/>
        <w:numPr>
          <w:ilvl w:val="0"/>
          <w:numId w:val="16"/>
        </w:numPr>
        <w:rPr>
          <w:rFonts w:hint="eastAsia"/>
          <w:sz w:val="24"/>
          <w:szCs w:val="24"/>
        </w:rPr>
      </w:pPr>
      <w:bookmarkStart w:id="694" w:name="_Toc1740"/>
      <w:bookmarkStart w:id="695" w:name="_Toc3820"/>
      <w:bookmarkStart w:id="696" w:name="_Toc16356"/>
      <w:bookmarkStart w:id="697" w:name="_Toc26726"/>
      <w:bookmarkStart w:id="698" w:name="_Toc21732"/>
      <w:bookmarkStart w:id="699" w:name="_Toc22175"/>
      <w:bookmarkStart w:id="700" w:name="_Toc16537"/>
      <w:bookmarkStart w:id="701" w:name="_Toc4338"/>
      <w:bookmarkStart w:id="702" w:name="_Toc28724"/>
      <w:bookmarkStart w:id="703" w:name="_Toc5149"/>
      <w:bookmarkStart w:id="704" w:name="_Toc5605"/>
      <w:r>
        <w:rPr>
          <w:rFonts w:hint="eastAsia"/>
          <w:sz w:val="24"/>
          <w:szCs w:val="24"/>
        </w:rPr>
        <w:t>评审程序</w:t>
      </w:r>
      <w:bookmarkEnd w:id="694"/>
      <w:bookmarkEnd w:id="695"/>
      <w:bookmarkEnd w:id="696"/>
      <w:bookmarkEnd w:id="697"/>
      <w:bookmarkEnd w:id="698"/>
      <w:bookmarkEnd w:id="699"/>
      <w:bookmarkEnd w:id="700"/>
      <w:bookmarkEnd w:id="701"/>
      <w:bookmarkEnd w:id="702"/>
      <w:bookmarkEnd w:id="703"/>
      <w:bookmarkEnd w:id="704"/>
    </w:p>
    <w:p w14:paraId="19A6036D">
      <w:pPr>
        <w:pStyle w:val="4"/>
        <w:rPr>
          <w:rFonts w:hint="eastAsia"/>
        </w:rPr>
      </w:pPr>
      <w:bookmarkStart w:id="705" w:name="_Toc12080"/>
      <w:bookmarkStart w:id="706" w:name="_Toc5708"/>
      <w:bookmarkStart w:id="707" w:name="_Toc1654"/>
      <w:bookmarkStart w:id="708" w:name="_Toc17957"/>
      <w:bookmarkStart w:id="709" w:name="_Toc15909"/>
      <w:bookmarkStart w:id="710" w:name="_Toc9613"/>
      <w:bookmarkStart w:id="711" w:name="_Toc7036"/>
      <w:bookmarkStart w:id="712" w:name="_Toc32083"/>
      <w:bookmarkStart w:id="713" w:name="_Toc9443"/>
      <w:bookmarkStart w:id="714" w:name="_Toc18983"/>
      <w:bookmarkStart w:id="715" w:name="_Toc10682"/>
      <w:r>
        <w:rPr>
          <w:rFonts w:hint="eastAsia"/>
        </w:rPr>
        <w:t>3.1 符合性审查</w:t>
      </w:r>
      <w:bookmarkEnd w:id="705"/>
      <w:bookmarkEnd w:id="706"/>
      <w:bookmarkEnd w:id="707"/>
      <w:bookmarkEnd w:id="708"/>
      <w:bookmarkEnd w:id="709"/>
      <w:bookmarkEnd w:id="710"/>
      <w:bookmarkEnd w:id="711"/>
      <w:bookmarkEnd w:id="712"/>
      <w:bookmarkEnd w:id="713"/>
      <w:bookmarkEnd w:id="714"/>
      <w:bookmarkEnd w:id="715"/>
    </w:p>
    <w:p w14:paraId="10DE2E50">
      <w:pPr>
        <w:autoSpaceDE w:val="0"/>
        <w:autoSpaceDN w:val="0"/>
        <w:adjustRightInd w:val="0"/>
        <w:spacing w:line="360" w:lineRule="auto"/>
        <w:ind w:left="100" w:right="40" w:firstLine="420"/>
        <w:jc w:val="left"/>
        <w:rPr>
          <w:rFonts w:hint="eastAsia"/>
          <w:b/>
          <w:spacing w:val="-2"/>
          <w:kern w:val="0"/>
          <w:szCs w:val="21"/>
        </w:rPr>
      </w:pP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依</w:t>
      </w:r>
      <w:r>
        <w:rPr>
          <w:rFonts w:hint="eastAsia"/>
          <w:kern w:val="0"/>
          <w:szCs w:val="21"/>
        </w:rPr>
        <w:t>据本</w:t>
      </w:r>
      <w:r>
        <w:rPr>
          <w:rFonts w:hint="eastAsia"/>
          <w:spacing w:val="-2"/>
          <w:kern w:val="0"/>
          <w:szCs w:val="21"/>
        </w:rPr>
        <w:t>章评标办法</w:t>
      </w:r>
      <w:r>
        <w:rPr>
          <w:rFonts w:hint="eastAsia"/>
          <w:kern w:val="0"/>
          <w:szCs w:val="21"/>
        </w:rPr>
        <w:t>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符合资格的投标人的投标文件进行符合性审查，以确定其是否满足招标文件的实质性要求</w:t>
      </w:r>
      <w:r>
        <w:rPr>
          <w:rFonts w:hint="eastAsia"/>
          <w:kern w:val="0"/>
          <w:szCs w:val="21"/>
        </w:rPr>
        <w:t>，</w:t>
      </w:r>
      <w:r>
        <w:rPr>
          <w:rFonts w:hint="eastAsia"/>
          <w:spacing w:val="-2"/>
          <w:kern w:val="0"/>
          <w:szCs w:val="21"/>
        </w:rPr>
        <w:t>有</w:t>
      </w:r>
      <w:r>
        <w:rPr>
          <w:rFonts w:hint="eastAsia"/>
          <w:kern w:val="0"/>
          <w:szCs w:val="21"/>
        </w:rPr>
        <w:t>一</w:t>
      </w:r>
      <w:r>
        <w:rPr>
          <w:rFonts w:hint="eastAsia"/>
          <w:spacing w:val="-2"/>
          <w:kern w:val="0"/>
          <w:szCs w:val="21"/>
        </w:rPr>
        <w:t>项</w:t>
      </w:r>
      <w:r>
        <w:rPr>
          <w:rFonts w:hint="eastAsia"/>
          <w:kern w:val="0"/>
          <w:szCs w:val="21"/>
        </w:rPr>
        <w:t>不</w:t>
      </w:r>
      <w:r>
        <w:rPr>
          <w:rFonts w:hint="eastAsia"/>
          <w:spacing w:val="-2"/>
          <w:kern w:val="0"/>
          <w:szCs w:val="21"/>
        </w:rPr>
        <w:t>符</w:t>
      </w:r>
      <w:r>
        <w:rPr>
          <w:rFonts w:hint="eastAsia"/>
          <w:kern w:val="0"/>
          <w:szCs w:val="21"/>
        </w:rPr>
        <w:t>合评审</w:t>
      </w:r>
      <w:r>
        <w:rPr>
          <w:rFonts w:hint="eastAsia"/>
          <w:spacing w:val="-2"/>
          <w:kern w:val="0"/>
          <w:szCs w:val="21"/>
        </w:rPr>
        <w:t>标</w:t>
      </w:r>
      <w:r>
        <w:rPr>
          <w:rFonts w:hint="eastAsia"/>
          <w:kern w:val="0"/>
          <w:szCs w:val="21"/>
        </w:rPr>
        <w:t>准</w:t>
      </w:r>
      <w:r>
        <w:rPr>
          <w:rFonts w:hint="eastAsia"/>
          <w:spacing w:val="-2"/>
          <w:kern w:val="0"/>
          <w:szCs w:val="21"/>
        </w:rPr>
        <w:t>的</w:t>
      </w:r>
      <w:r>
        <w:rPr>
          <w:rFonts w:hint="eastAsia"/>
          <w:kern w:val="0"/>
          <w:szCs w:val="21"/>
        </w:rPr>
        <w:t>，</w:t>
      </w:r>
      <w:r>
        <w:rPr>
          <w:rFonts w:hint="eastAsia"/>
          <w:spacing w:val="-2"/>
          <w:kern w:val="0"/>
          <w:szCs w:val="21"/>
        </w:rPr>
        <w:t>评</w:t>
      </w:r>
      <w:r>
        <w:rPr>
          <w:rFonts w:hint="eastAsia"/>
          <w:kern w:val="0"/>
          <w:szCs w:val="21"/>
        </w:rPr>
        <w:t>标</w:t>
      </w:r>
      <w:r>
        <w:rPr>
          <w:rFonts w:hint="eastAsia"/>
          <w:spacing w:val="-2"/>
          <w:kern w:val="0"/>
          <w:szCs w:val="21"/>
        </w:rPr>
        <w:t>委</w:t>
      </w:r>
      <w:r>
        <w:rPr>
          <w:rFonts w:hint="eastAsia"/>
          <w:kern w:val="0"/>
          <w:szCs w:val="21"/>
        </w:rPr>
        <w:t>员</w:t>
      </w:r>
      <w:r>
        <w:rPr>
          <w:rFonts w:hint="eastAsia"/>
          <w:spacing w:val="-2"/>
          <w:kern w:val="0"/>
          <w:szCs w:val="21"/>
        </w:rPr>
        <w:t>会</w:t>
      </w:r>
      <w:r>
        <w:rPr>
          <w:rFonts w:hint="eastAsia"/>
          <w:kern w:val="0"/>
          <w:szCs w:val="21"/>
        </w:rPr>
        <w:t>应当</w:t>
      </w:r>
      <w:r>
        <w:rPr>
          <w:rFonts w:hint="eastAsia"/>
          <w:szCs w:val="21"/>
        </w:rPr>
        <w:t>认定其</w:t>
      </w:r>
      <w:r>
        <w:rPr>
          <w:rFonts w:hint="eastAsia"/>
          <w:b/>
          <w:bCs/>
          <w:szCs w:val="21"/>
        </w:rPr>
        <w:t>投标无效</w:t>
      </w:r>
      <w:r>
        <w:rPr>
          <w:rFonts w:hint="eastAsia"/>
          <w:spacing w:val="-2"/>
          <w:kern w:val="0"/>
          <w:szCs w:val="21"/>
        </w:rPr>
        <w:t>。</w:t>
      </w:r>
    </w:p>
    <w:p w14:paraId="36A37201">
      <w:pPr>
        <w:autoSpaceDE w:val="0"/>
        <w:autoSpaceDN w:val="0"/>
        <w:adjustRightInd w:val="0"/>
        <w:spacing w:before="40" w:line="360" w:lineRule="auto"/>
        <w:ind w:left="65" w:leftChars="31" w:right="140" w:firstLine="207" w:firstLineChars="98"/>
        <w:jc w:val="left"/>
        <w:rPr>
          <w:rFonts w:hint="eastAsia"/>
          <w:b/>
          <w:kern w:val="0"/>
          <w:szCs w:val="21"/>
        </w:rPr>
      </w:pPr>
      <w:r>
        <w:rPr>
          <w:rFonts w:hint="eastAsia"/>
          <w:b/>
          <w:kern w:val="0"/>
          <w:szCs w:val="21"/>
        </w:rPr>
        <w:t>3.1.1 投</w:t>
      </w:r>
      <w:r>
        <w:rPr>
          <w:rFonts w:hint="eastAsia"/>
          <w:b/>
          <w:spacing w:val="-2"/>
          <w:kern w:val="0"/>
          <w:szCs w:val="21"/>
        </w:rPr>
        <w:t>标</w:t>
      </w:r>
      <w:r>
        <w:rPr>
          <w:rFonts w:hint="eastAsia"/>
          <w:b/>
          <w:kern w:val="0"/>
          <w:szCs w:val="21"/>
        </w:rPr>
        <w:t>报</w:t>
      </w:r>
      <w:r>
        <w:rPr>
          <w:rFonts w:hint="eastAsia"/>
          <w:b/>
          <w:spacing w:val="-2"/>
          <w:kern w:val="0"/>
          <w:szCs w:val="21"/>
        </w:rPr>
        <w:t>价</w:t>
      </w:r>
      <w:r>
        <w:rPr>
          <w:rFonts w:hint="eastAsia"/>
          <w:b/>
          <w:kern w:val="0"/>
          <w:szCs w:val="21"/>
        </w:rPr>
        <w:t>有</w:t>
      </w:r>
      <w:r>
        <w:rPr>
          <w:rFonts w:hint="eastAsia"/>
          <w:b/>
          <w:spacing w:val="-2"/>
          <w:kern w:val="0"/>
          <w:szCs w:val="21"/>
        </w:rPr>
        <w:t>算</w:t>
      </w:r>
      <w:r>
        <w:rPr>
          <w:rFonts w:hint="eastAsia"/>
          <w:b/>
          <w:kern w:val="0"/>
          <w:szCs w:val="21"/>
        </w:rPr>
        <w:t>术</w:t>
      </w:r>
      <w:r>
        <w:rPr>
          <w:rFonts w:hint="eastAsia"/>
          <w:b/>
          <w:spacing w:val="-2"/>
          <w:kern w:val="0"/>
          <w:szCs w:val="21"/>
        </w:rPr>
        <w:t>错误</w:t>
      </w:r>
      <w:r>
        <w:rPr>
          <w:rFonts w:hint="eastAsia"/>
          <w:b/>
          <w:kern w:val="0"/>
          <w:szCs w:val="21"/>
        </w:rPr>
        <w:t>及其</w:t>
      </w:r>
      <w:r>
        <w:rPr>
          <w:rFonts w:hint="eastAsia"/>
          <w:b/>
          <w:spacing w:val="-2"/>
          <w:kern w:val="0"/>
          <w:szCs w:val="21"/>
        </w:rPr>
        <w:t>他</w:t>
      </w:r>
      <w:r>
        <w:rPr>
          <w:rFonts w:hint="eastAsia"/>
          <w:b/>
          <w:kern w:val="0"/>
          <w:szCs w:val="21"/>
        </w:rPr>
        <w:t>错</w:t>
      </w:r>
      <w:r>
        <w:rPr>
          <w:rFonts w:hint="eastAsia"/>
          <w:b/>
          <w:spacing w:val="-2"/>
          <w:kern w:val="0"/>
          <w:szCs w:val="21"/>
        </w:rPr>
        <w:t>误的</w:t>
      </w:r>
      <w:r>
        <w:rPr>
          <w:rFonts w:hint="eastAsia"/>
          <w:b/>
          <w:spacing w:val="-74"/>
          <w:kern w:val="0"/>
          <w:szCs w:val="21"/>
        </w:rPr>
        <w:t>，</w:t>
      </w:r>
      <w:r>
        <w:rPr>
          <w:rFonts w:hint="eastAsia"/>
          <w:b/>
          <w:spacing w:val="-2"/>
          <w:kern w:val="0"/>
          <w:szCs w:val="21"/>
        </w:rPr>
        <w:t>评</w:t>
      </w:r>
      <w:r>
        <w:rPr>
          <w:rFonts w:hint="eastAsia"/>
          <w:b/>
          <w:kern w:val="0"/>
          <w:szCs w:val="21"/>
        </w:rPr>
        <w:t>标</w:t>
      </w:r>
      <w:r>
        <w:rPr>
          <w:rFonts w:hint="eastAsia"/>
          <w:b/>
          <w:spacing w:val="-2"/>
          <w:kern w:val="0"/>
          <w:szCs w:val="21"/>
        </w:rPr>
        <w:t>委</w:t>
      </w:r>
      <w:r>
        <w:rPr>
          <w:rFonts w:hint="eastAsia"/>
          <w:b/>
          <w:kern w:val="0"/>
          <w:szCs w:val="21"/>
        </w:rPr>
        <w:t>员</w:t>
      </w:r>
      <w:r>
        <w:rPr>
          <w:rFonts w:hint="eastAsia"/>
          <w:b/>
          <w:spacing w:val="-2"/>
          <w:kern w:val="0"/>
          <w:szCs w:val="21"/>
        </w:rPr>
        <w:t>会</w:t>
      </w:r>
      <w:r>
        <w:rPr>
          <w:rFonts w:hint="eastAsia"/>
          <w:b/>
          <w:kern w:val="0"/>
          <w:szCs w:val="21"/>
        </w:rPr>
        <w:t>按以</w:t>
      </w:r>
      <w:r>
        <w:rPr>
          <w:rFonts w:hint="eastAsia"/>
          <w:b/>
          <w:spacing w:val="-2"/>
          <w:kern w:val="0"/>
          <w:szCs w:val="21"/>
        </w:rPr>
        <w:t>下</w:t>
      </w:r>
      <w:r>
        <w:rPr>
          <w:rFonts w:hint="eastAsia"/>
          <w:b/>
          <w:kern w:val="0"/>
          <w:szCs w:val="21"/>
        </w:rPr>
        <w:t>原</w:t>
      </w:r>
      <w:r>
        <w:rPr>
          <w:rFonts w:hint="eastAsia"/>
          <w:b/>
          <w:spacing w:val="-2"/>
          <w:kern w:val="0"/>
          <w:szCs w:val="21"/>
        </w:rPr>
        <w:t>则</w:t>
      </w:r>
      <w:r>
        <w:rPr>
          <w:rFonts w:hint="eastAsia"/>
          <w:b/>
          <w:kern w:val="0"/>
          <w:szCs w:val="21"/>
        </w:rPr>
        <w:t>要</w:t>
      </w:r>
      <w:r>
        <w:rPr>
          <w:rFonts w:hint="eastAsia"/>
          <w:b/>
          <w:spacing w:val="-2"/>
          <w:kern w:val="0"/>
          <w:szCs w:val="21"/>
        </w:rPr>
        <w:t>求</w:t>
      </w:r>
      <w:r>
        <w:rPr>
          <w:rFonts w:hint="eastAsia"/>
          <w:b/>
          <w:kern w:val="0"/>
          <w:szCs w:val="21"/>
        </w:rPr>
        <w:t>投</w:t>
      </w:r>
      <w:r>
        <w:rPr>
          <w:rFonts w:hint="eastAsia"/>
          <w:b/>
          <w:spacing w:val="-2"/>
          <w:kern w:val="0"/>
          <w:szCs w:val="21"/>
        </w:rPr>
        <w:t>标</w:t>
      </w:r>
      <w:r>
        <w:rPr>
          <w:rFonts w:hint="eastAsia"/>
          <w:b/>
          <w:kern w:val="0"/>
          <w:szCs w:val="21"/>
        </w:rPr>
        <w:t>人</w:t>
      </w:r>
      <w:r>
        <w:rPr>
          <w:rFonts w:hint="eastAsia"/>
          <w:b/>
          <w:spacing w:val="-2"/>
          <w:kern w:val="0"/>
          <w:szCs w:val="21"/>
        </w:rPr>
        <w:t>对</w:t>
      </w:r>
      <w:r>
        <w:rPr>
          <w:rFonts w:hint="eastAsia"/>
          <w:b/>
          <w:kern w:val="0"/>
          <w:szCs w:val="21"/>
        </w:rPr>
        <w:t>投标</w:t>
      </w:r>
      <w:r>
        <w:rPr>
          <w:rFonts w:hint="eastAsia"/>
          <w:b/>
          <w:spacing w:val="-2"/>
          <w:kern w:val="0"/>
          <w:szCs w:val="21"/>
        </w:rPr>
        <w:t>报</w:t>
      </w:r>
      <w:r>
        <w:rPr>
          <w:rFonts w:hint="eastAsia"/>
          <w:b/>
          <w:kern w:val="0"/>
          <w:szCs w:val="21"/>
        </w:rPr>
        <w:t>价进行修</w:t>
      </w:r>
      <w:r>
        <w:rPr>
          <w:rFonts w:hint="eastAsia"/>
          <w:b/>
          <w:spacing w:val="-2"/>
          <w:kern w:val="0"/>
          <w:szCs w:val="21"/>
        </w:rPr>
        <w:t>正</w:t>
      </w:r>
      <w:r>
        <w:rPr>
          <w:rFonts w:hint="eastAsia"/>
          <w:bCs/>
          <w:szCs w:val="21"/>
        </w:rPr>
        <w:t>：</w:t>
      </w:r>
    </w:p>
    <w:p w14:paraId="37595A05">
      <w:pPr>
        <w:numPr>
          <w:ilvl w:val="0"/>
          <w:numId w:val="19"/>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投标文件中开标一览表（报价表）内容与投标文件中相应内容不一致的，以开标一览表（报价表）为准；</w:t>
      </w:r>
    </w:p>
    <w:p w14:paraId="79DF3A7E">
      <w:pPr>
        <w:numPr>
          <w:ilvl w:val="0"/>
          <w:numId w:val="19"/>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大写金额和小写金额不一致的，以大写金额为准；</w:t>
      </w:r>
    </w:p>
    <w:p w14:paraId="03D3FB53">
      <w:pPr>
        <w:numPr>
          <w:ilvl w:val="0"/>
          <w:numId w:val="19"/>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单价金额小数点或者百分比有明显错位的，以开标一览表的总价为准，并修改单价；</w:t>
      </w:r>
    </w:p>
    <w:p w14:paraId="765D42E4">
      <w:pPr>
        <w:numPr>
          <w:ilvl w:val="0"/>
          <w:numId w:val="19"/>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总价金额与按单价汇总金额不一致的，以单价金额计算结果为准；</w:t>
      </w:r>
    </w:p>
    <w:p w14:paraId="72DC1751">
      <w:pPr>
        <w:numPr>
          <w:ilvl w:val="0"/>
          <w:numId w:val="19"/>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同时出现两种以上不一致的，按照前款规定的顺序修正。修正后的报价应当采用书面形式，并加盖公章，或者由法定代表人或其授权的代表签字，投标人不确认的，其</w:t>
      </w:r>
      <w:r>
        <w:rPr>
          <w:rFonts w:hint="eastAsia"/>
          <w:b/>
          <w:bCs/>
          <w:kern w:val="0"/>
          <w:szCs w:val="21"/>
        </w:rPr>
        <w:t>投标无效</w:t>
      </w:r>
      <w:r>
        <w:rPr>
          <w:rFonts w:hint="eastAsia"/>
          <w:kern w:val="0"/>
          <w:szCs w:val="21"/>
        </w:rPr>
        <w:t>。</w:t>
      </w:r>
    </w:p>
    <w:p w14:paraId="00776D40">
      <w:pPr>
        <w:pStyle w:val="4"/>
        <w:rPr>
          <w:rFonts w:hint="eastAsia"/>
        </w:rPr>
      </w:pPr>
      <w:bookmarkStart w:id="716" w:name="_Toc10132"/>
      <w:bookmarkStart w:id="717" w:name="_Toc1221"/>
      <w:bookmarkStart w:id="718" w:name="_Toc18705"/>
      <w:bookmarkStart w:id="719" w:name="_Toc12089"/>
      <w:bookmarkStart w:id="720" w:name="_Toc22449"/>
      <w:bookmarkStart w:id="721" w:name="_Toc26213"/>
      <w:bookmarkStart w:id="722" w:name="_Toc30428"/>
      <w:bookmarkStart w:id="723" w:name="_Toc14399"/>
      <w:bookmarkStart w:id="724" w:name="_Toc26026"/>
      <w:bookmarkStart w:id="725" w:name="_Toc24391"/>
      <w:bookmarkStart w:id="726" w:name="_Toc13336"/>
      <w:r>
        <w:rPr>
          <w:rFonts w:hint="eastAsia"/>
        </w:rPr>
        <w:t>3.2 详细评审</w:t>
      </w:r>
      <w:bookmarkEnd w:id="716"/>
      <w:bookmarkEnd w:id="717"/>
      <w:bookmarkEnd w:id="718"/>
      <w:bookmarkEnd w:id="719"/>
      <w:bookmarkEnd w:id="720"/>
      <w:bookmarkEnd w:id="721"/>
      <w:bookmarkEnd w:id="722"/>
      <w:bookmarkEnd w:id="723"/>
      <w:bookmarkEnd w:id="724"/>
      <w:bookmarkEnd w:id="725"/>
      <w:bookmarkEnd w:id="726"/>
    </w:p>
    <w:p w14:paraId="00A6D63E">
      <w:pPr>
        <w:autoSpaceDE w:val="0"/>
        <w:autoSpaceDN w:val="0"/>
        <w:adjustRightInd w:val="0"/>
        <w:spacing w:line="360" w:lineRule="auto"/>
        <w:ind w:left="520" w:right="-20"/>
        <w:jc w:val="left"/>
        <w:rPr>
          <w:rFonts w:hint="eastAsia"/>
          <w:kern w:val="0"/>
          <w:szCs w:val="21"/>
        </w:rPr>
      </w:pPr>
      <w:r>
        <w:rPr>
          <w:rFonts w:hint="eastAsia"/>
          <w:kern w:val="0"/>
          <w:szCs w:val="21"/>
        </w:rPr>
        <w:t>3.2.1 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按</w:t>
      </w:r>
      <w:r>
        <w:rPr>
          <w:rFonts w:hint="eastAsia"/>
          <w:kern w:val="0"/>
          <w:szCs w:val="21"/>
        </w:rPr>
        <w:t>本</w:t>
      </w:r>
      <w:r>
        <w:rPr>
          <w:rFonts w:hint="eastAsia"/>
          <w:spacing w:val="-2"/>
          <w:kern w:val="0"/>
          <w:szCs w:val="21"/>
        </w:rPr>
        <w:t>章</w:t>
      </w:r>
      <w:r>
        <w:rPr>
          <w:rFonts w:hint="eastAsia"/>
          <w:kern w:val="0"/>
          <w:szCs w:val="21"/>
        </w:rPr>
        <w:t>评标方法规</w:t>
      </w:r>
      <w:r>
        <w:rPr>
          <w:rFonts w:hint="eastAsia"/>
          <w:spacing w:val="-2"/>
          <w:kern w:val="0"/>
          <w:szCs w:val="21"/>
        </w:rPr>
        <w:t>定</w:t>
      </w:r>
      <w:r>
        <w:rPr>
          <w:rFonts w:hint="eastAsia"/>
          <w:kern w:val="0"/>
          <w:szCs w:val="21"/>
        </w:rPr>
        <w:t>的</w:t>
      </w:r>
      <w:r>
        <w:rPr>
          <w:rFonts w:hint="eastAsia"/>
          <w:spacing w:val="-2"/>
          <w:kern w:val="0"/>
          <w:szCs w:val="21"/>
        </w:rPr>
        <w:t>量</w:t>
      </w:r>
      <w:r>
        <w:rPr>
          <w:rFonts w:hint="eastAsia"/>
          <w:kern w:val="0"/>
          <w:szCs w:val="21"/>
        </w:rPr>
        <w:t>化</w:t>
      </w:r>
      <w:r>
        <w:rPr>
          <w:rFonts w:hint="eastAsia"/>
          <w:spacing w:val="-2"/>
          <w:kern w:val="0"/>
          <w:szCs w:val="21"/>
        </w:rPr>
        <w:t>因</w:t>
      </w:r>
      <w:r>
        <w:rPr>
          <w:rFonts w:hint="eastAsia"/>
          <w:kern w:val="0"/>
          <w:szCs w:val="21"/>
        </w:rPr>
        <w:t>素</w:t>
      </w:r>
      <w:r>
        <w:rPr>
          <w:rFonts w:hint="eastAsia"/>
          <w:spacing w:val="-2"/>
          <w:kern w:val="0"/>
          <w:szCs w:val="21"/>
        </w:rPr>
        <w:t>和</w:t>
      </w:r>
      <w:r>
        <w:rPr>
          <w:rFonts w:hint="eastAsia"/>
          <w:kern w:val="0"/>
          <w:szCs w:val="21"/>
        </w:rPr>
        <w:t>分值</w:t>
      </w:r>
      <w:r>
        <w:rPr>
          <w:rFonts w:hint="eastAsia"/>
          <w:spacing w:val="-2"/>
          <w:kern w:val="0"/>
          <w:szCs w:val="21"/>
        </w:rPr>
        <w:t>进</w:t>
      </w:r>
      <w:r>
        <w:rPr>
          <w:rFonts w:hint="eastAsia"/>
          <w:kern w:val="0"/>
          <w:szCs w:val="21"/>
        </w:rPr>
        <w:t>行</w:t>
      </w:r>
      <w:r>
        <w:rPr>
          <w:rFonts w:hint="eastAsia"/>
          <w:spacing w:val="-2"/>
          <w:kern w:val="0"/>
          <w:szCs w:val="21"/>
        </w:rPr>
        <w:t>打</w:t>
      </w:r>
      <w:r>
        <w:rPr>
          <w:rFonts w:hint="eastAsia"/>
          <w:kern w:val="0"/>
          <w:szCs w:val="21"/>
        </w:rPr>
        <w:t>分并</w:t>
      </w:r>
      <w:r>
        <w:rPr>
          <w:rFonts w:hint="eastAsia"/>
          <w:spacing w:val="-2"/>
          <w:kern w:val="0"/>
          <w:szCs w:val="21"/>
        </w:rPr>
        <w:t>计</w:t>
      </w:r>
      <w:r>
        <w:rPr>
          <w:rFonts w:hint="eastAsia"/>
          <w:kern w:val="0"/>
          <w:szCs w:val="21"/>
        </w:rPr>
        <w:t>算</w:t>
      </w:r>
      <w:r>
        <w:rPr>
          <w:rFonts w:hint="eastAsia"/>
          <w:spacing w:val="-2"/>
          <w:kern w:val="0"/>
          <w:szCs w:val="21"/>
        </w:rPr>
        <w:t>出综</w:t>
      </w:r>
      <w:r>
        <w:rPr>
          <w:rFonts w:hint="eastAsia"/>
          <w:kern w:val="0"/>
          <w:szCs w:val="21"/>
        </w:rPr>
        <w:t>合得</w:t>
      </w:r>
      <w:r>
        <w:rPr>
          <w:rFonts w:hint="eastAsia"/>
          <w:spacing w:val="-2"/>
          <w:kern w:val="0"/>
          <w:szCs w:val="21"/>
        </w:rPr>
        <w:t>分</w:t>
      </w:r>
      <w:r>
        <w:rPr>
          <w:rFonts w:hint="eastAsia"/>
          <w:kern w:val="0"/>
          <w:szCs w:val="21"/>
        </w:rPr>
        <w:t>。</w:t>
      </w:r>
    </w:p>
    <w:p w14:paraId="1B75BF86">
      <w:pPr>
        <w:numPr>
          <w:ilvl w:val="0"/>
          <w:numId w:val="20"/>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按本章第 2.2.2（1）目规定的评审因素和分值对投标报价计算出得分A；</w:t>
      </w:r>
    </w:p>
    <w:p w14:paraId="0F414319">
      <w:pPr>
        <w:numPr>
          <w:ilvl w:val="0"/>
          <w:numId w:val="20"/>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按本章第2.2.2（2）目规定的评审因素和分值对技术部分计算出得分B；</w:t>
      </w:r>
    </w:p>
    <w:p w14:paraId="55B7BEE1">
      <w:pPr>
        <w:numPr>
          <w:ilvl w:val="0"/>
          <w:numId w:val="20"/>
        </w:numPr>
        <w:autoSpaceDE w:val="0"/>
        <w:autoSpaceDN w:val="0"/>
        <w:adjustRightInd w:val="0"/>
        <w:spacing w:line="360" w:lineRule="auto"/>
        <w:ind w:left="0" w:right="40" w:firstLine="420" w:firstLineChars="200"/>
        <w:jc w:val="left"/>
        <w:rPr>
          <w:rFonts w:hint="eastAsia"/>
          <w:kern w:val="0"/>
          <w:szCs w:val="21"/>
        </w:rPr>
      </w:pPr>
      <w:r>
        <w:rPr>
          <w:rFonts w:hint="eastAsia"/>
          <w:kern w:val="0"/>
          <w:szCs w:val="21"/>
        </w:rPr>
        <w:t>按本章第</w:t>
      </w:r>
      <w:bookmarkStart w:id="727" w:name="OLE_LINK3"/>
      <w:r>
        <w:rPr>
          <w:rFonts w:hint="eastAsia"/>
          <w:kern w:val="0"/>
          <w:szCs w:val="21"/>
        </w:rPr>
        <w:t>2.2.2（3）</w:t>
      </w:r>
      <w:bookmarkEnd w:id="727"/>
      <w:r>
        <w:rPr>
          <w:rFonts w:hint="eastAsia"/>
          <w:kern w:val="0"/>
          <w:szCs w:val="21"/>
        </w:rPr>
        <w:t>目规定的评审因素和分值对商务部分计算出得分C。</w:t>
      </w:r>
    </w:p>
    <w:p w14:paraId="0522A70E">
      <w:pPr>
        <w:autoSpaceDE w:val="0"/>
        <w:autoSpaceDN w:val="0"/>
        <w:adjustRightInd w:val="0"/>
        <w:spacing w:before="42" w:line="360" w:lineRule="auto"/>
        <w:ind w:left="520" w:right="-20"/>
        <w:jc w:val="left"/>
        <w:rPr>
          <w:rFonts w:hint="eastAsia"/>
          <w:kern w:val="0"/>
          <w:szCs w:val="21"/>
        </w:rPr>
      </w:pPr>
      <w:r>
        <w:rPr>
          <w:rFonts w:hint="eastAsia"/>
          <w:kern w:val="0"/>
          <w:szCs w:val="21"/>
        </w:rPr>
        <w:t>3.2.2</w:t>
      </w:r>
      <w:r>
        <w:rPr>
          <w:rFonts w:hint="eastAsia"/>
          <w:spacing w:val="51"/>
          <w:kern w:val="0"/>
          <w:szCs w:val="21"/>
        </w:rPr>
        <w:t xml:space="preserve"> </w:t>
      </w:r>
      <w:r>
        <w:rPr>
          <w:rFonts w:hint="eastAsia"/>
          <w:kern w:val="0"/>
          <w:szCs w:val="21"/>
        </w:rPr>
        <w:t>评</w:t>
      </w:r>
      <w:r>
        <w:rPr>
          <w:rFonts w:hint="eastAsia"/>
          <w:spacing w:val="-2"/>
          <w:kern w:val="0"/>
          <w:szCs w:val="21"/>
        </w:rPr>
        <w:t>分</w:t>
      </w:r>
      <w:r>
        <w:rPr>
          <w:rFonts w:hint="eastAsia"/>
          <w:kern w:val="0"/>
          <w:szCs w:val="21"/>
        </w:rPr>
        <w:t>分</w:t>
      </w:r>
      <w:r>
        <w:rPr>
          <w:rFonts w:hint="eastAsia"/>
          <w:spacing w:val="-2"/>
          <w:kern w:val="0"/>
          <w:szCs w:val="21"/>
        </w:rPr>
        <w:t>值</w:t>
      </w:r>
      <w:r>
        <w:rPr>
          <w:rFonts w:hint="eastAsia"/>
          <w:kern w:val="0"/>
          <w:szCs w:val="21"/>
        </w:rPr>
        <w:t>计</w:t>
      </w:r>
      <w:r>
        <w:rPr>
          <w:rFonts w:hint="eastAsia"/>
          <w:spacing w:val="-2"/>
          <w:kern w:val="0"/>
          <w:szCs w:val="21"/>
        </w:rPr>
        <w:t>算</w:t>
      </w:r>
      <w:r>
        <w:rPr>
          <w:rFonts w:hint="eastAsia"/>
          <w:kern w:val="0"/>
          <w:szCs w:val="21"/>
        </w:rPr>
        <w:t>保</w:t>
      </w:r>
      <w:r>
        <w:rPr>
          <w:rFonts w:hint="eastAsia"/>
          <w:spacing w:val="-2"/>
          <w:kern w:val="0"/>
          <w:szCs w:val="21"/>
        </w:rPr>
        <w:t>留小</w:t>
      </w:r>
      <w:r>
        <w:rPr>
          <w:rFonts w:hint="eastAsia"/>
          <w:kern w:val="0"/>
          <w:szCs w:val="21"/>
        </w:rPr>
        <w:t>数点</w:t>
      </w:r>
      <w:r>
        <w:rPr>
          <w:rFonts w:hint="eastAsia"/>
          <w:spacing w:val="-2"/>
          <w:kern w:val="0"/>
          <w:szCs w:val="21"/>
        </w:rPr>
        <w:t>后</w:t>
      </w:r>
      <w:r>
        <w:rPr>
          <w:rFonts w:hint="eastAsia"/>
          <w:kern w:val="0"/>
          <w:szCs w:val="21"/>
        </w:rPr>
        <w:t>两</w:t>
      </w:r>
      <w:r>
        <w:rPr>
          <w:rFonts w:hint="eastAsia"/>
          <w:spacing w:val="-2"/>
          <w:kern w:val="0"/>
          <w:szCs w:val="21"/>
        </w:rPr>
        <w:t>位</w:t>
      </w:r>
      <w:r>
        <w:rPr>
          <w:rFonts w:hint="eastAsia"/>
          <w:kern w:val="0"/>
          <w:szCs w:val="21"/>
        </w:rPr>
        <w:t>，</w:t>
      </w:r>
      <w:r>
        <w:rPr>
          <w:rFonts w:hint="eastAsia"/>
          <w:spacing w:val="-2"/>
          <w:kern w:val="0"/>
          <w:szCs w:val="21"/>
        </w:rPr>
        <w:t>小</w:t>
      </w:r>
      <w:r>
        <w:rPr>
          <w:rFonts w:hint="eastAsia"/>
          <w:kern w:val="0"/>
          <w:szCs w:val="21"/>
        </w:rPr>
        <w:t>数</w:t>
      </w:r>
      <w:r>
        <w:rPr>
          <w:rFonts w:hint="eastAsia"/>
          <w:spacing w:val="-2"/>
          <w:kern w:val="0"/>
          <w:szCs w:val="21"/>
        </w:rPr>
        <w:t>点</w:t>
      </w:r>
      <w:r>
        <w:rPr>
          <w:rFonts w:hint="eastAsia"/>
          <w:kern w:val="0"/>
          <w:szCs w:val="21"/>
        </w:rPr>
        <w:t>后</w:t>
      </w:r>
      <w:r>
        <w:rPr>
          <w:rFonts w:hint="eastAsia"/>
          <w:spacing w:val="-2"/>
          <w:kern w:val="0"/>
          <w:szCs w:val="21"/>
        </w:rPr>
        <w:t>第</w:t>
      </w:r>
      <w:r>
        <w:rPr>
          <w:rFonts w:hint="eastAsia"/>
          <w:kern w:val="0"/>
          <w:szCs w:val="21"/>
        </w:rPr>
        <w:t>三位</w:t>
      </w:r>
      <w:r>
        <w:rPr>
          <w:rFonts w:hint="eastAsia"/>
          <w:spacing w:val="-3"/>
          <w:kern w:val="0"/>
          <w:szCs w:val="21"/>
        </w:rPr>
        <w:t>“</w:t>
      </w:r>
      <w:r>
        <w:rPr>
          <w:rFonts w:hint="eastAsia"/>
          <w:kern w:val="0"/>
          <w:szCs w:val="21"/>
        </w:rPr>
        <w:t>四</w:t>
      </w:r>
      <w:r>
        <w:rPr>
          <w:rFonts w:hint="eastAsia"/>
          <w:spacing w:val="-2"/>
          <w:kern w:val="0"/>
          <w:szCs w:val="21"/>
        </w:rPr>
        <w:t>舍</w:t>
      </w:r>
      <w:r>
        <w:rPr>
          <w:rFonts w:hint="eastAsia"/>
          <w:kern w:val="0"/>
          <w:szCs w:val="21"/>
        </w:rPr>
        <w:t>五入</w:t>
      </w:r>
      <w:r>
        <w:rPr>
          <w:rFonts w:hint="eastAsia"/>
          <w:spacing w:val="-3"/>
          <w:kern w:val="0"/>
          <w:szCs w:val="21"/>
        </w:rPr>
        <w:t>”</w:t>
      </w:r>
      <w:r>
        <w:rPr>
          <w:rFonts w:hint="eastAsia"/>
          <w:kern w:val="0"/>
          <w:szCs w:val="21"/>
        </w:rPr>
        <w:t>。</w:t>
      </w:r>
    </w:p>
    <w:p w14:paraId="1D6F6FB2">
      <w:pPr>
        <w:autoSpaceDE w:val="0"/>
        <w:autoSpaceDN w:val="0"/>
        <w:adjustRightInd w:val="0"/>
        <w:spacing w:before="42" w:line="360" w:lineRule="auto"/>
        <w:ind w:left="520" w:right="-20"/>
        <w:jc w:val="left"/>
        <w:rPr>
          <w:rFonts w:hint="eastAsia"/>
          <w:kern w:val="0"/>
          <w:szCs w:val="21"/>
        </w:rPr>
      </w:pPr>
      <w:r>
        <w:rPr>
          <w:rFonts w:hint="eastAsia"/>
          <w:kern w:val="0"/>
          <w:szCs w:val="21"/>
        </w:rPr>
        <w:t>3.2.3</w:t>
      </w:r>
      <w:r>
        <w:rPr>
          <w:rFonts w:hint="eastAsia"/>
          <w:spacing w:val="51"/>
          <w:kern w:val="0"/>
          <w:szCs w:val="21"/>
        </w:rPr>
        <w:t xml:space="preserve"> </w:t>
      </w:r>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得</w:t>
      </w:r>
      <w:r>
        <w:rPr>
          <w:rFonts w:hint="eastAsia"/>
          <w:kern w:val="0"/>
          <w:szCs w:val="21"/>
        </w:rPr>
        <w:t>分</w:t>
      </w:r>
      <w:r>
        <w:rPr>
          <w:rFonts w:hint="eastAsia"/>
          <w:spacing w:val="-1"/>
          <w:kern w:val="0"/>
          <w:szCs w:val="21"/>
        </w:rPr>
        <w:t>=A</w:t>
      </w:r>
      <w:r>
        <w:rPr>
          <w:rFonts w:hint="eastAsia"/>
          <w:spacing w:val="1"/>
          <w:kern w:val="0"/>
          <w:szCs w:val="21"/>
        </w:rPr>
        <w:t>+</w:t>
      </w:r>
      <w:r>
        <w:rPr>
          <w:rFonts w:hint="eastAsia"/>
          <w:spacing w:val="-2"/>
          <w:kern w:val="0"/>
          <w:szCs w:val="21"/>
        </w:rPr>
        <w:t>B</w:t>
      </w:r>
      <w:r>
        <w:rPr>
          <w:rFonts w:hint="eastAsia"/>
          <w:spacing w:val="-1"/>
          <w:kern w:val="0"/>
          <w:szCs w:val="21"/>
        </w:rPr>
        <w:t>+</w:t>
      </w:r>
      <w:r>
        <w:rPr>
          <w:rFonts w:hint="eastAsia"/>
          <w:spacing w:val="-2"/>
          <w:kern w:val="0"/>
          <w:szCs w:val="21"/>
        </w:rPr>
        <w:t>C</w:t>
      </w:r>
      <w:r>
        <w:rPr>
          <w:rFonts w:hint="eastAsia"/>
          <w:kern w:val="0"/>
          <w:szCs w:val="21"/>
        </w:rPr>
        <w:t>。</w:t>
      </w:r>
    </w:p>
    <w:p w14:paraId="571CCE90">
      <w:pPr>
        <w:autoSpaceDE w:val="0"/>
        <w:autoSpaceDN w:val="0"/>
        <w:adjustRightInd w:val="0"/>
        <w:spacing w:before="40" w:line="360" w:lineRule="auto"/>
        <w:ind w:left="100" w:right="140" w:firstLine="420"/>
        <w:rPr>
          <w:rFonts w:hint="eastAsia"/>
          <w:kern w:val="0"/>
          <w:szCs w:val="21"/>
        </w:rPr>
      </w:pPr>
      <w:r>
        <w:rPr>
          <w:rFonts w:hint="eastAsia"/>
          <w:kern w:val="0"/>
          <w:szCs w:val="21"/>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kern w:val="0"/>
          <w:szCs w:val="21"/>
        </w:rPr>
        <w:t>无效投标</w:t>
      </w:r>
      <w:r>
        <w:rPr>
          <w:rFonts w:hint="eastAsia"/>
          <w:kern w:val="0"/>
          <w:szCs w:val="21"/>
        </w:rPr>
        <w:t>处理。</w:t>
      </w:r>
    </w:p>
    <w:p w14:paraId="072D4E6C">
      <w:pPr>
        <w:pStyle w:val="4"/>
        <w:rPr>
          <w:rFonts w:hint="eastAsia"/>
        </w:rPr>
      </w:pPr>
      <w:bookmarkStart w:id="728" w:name="_Toc30029"/>
      <w:bookmarkStart w:id="729" w:name="_Toc6048"/>
      <w:bookmarkStart w:id="730" w:name="_Toc9150"/>
      <w:bookmarkStart w:id="731" w:name="_Toc11785"/>
      <w:bookmarkStart w:id="732" w:name="_Toc5640"/>
      <w:bookmarkStart w:id="733" w:name="_Toc18083"/>
      <w:bookmarkStart w:id="734" w:name="_Toc2162"/>
      <w:bookmarkStart w:id="735" w:name="_Toc7845"/>
      <w:bookmarkStart w:id="736" w:name="_Toc11722"/>
      <w:bookmarkStart w:id="737" w:name="_Toc18381"/>
      <w:bookmarkStart w:id="738" w:name="_Toc24367"/>
      <w:r>
        <w:rPr>
          <w:rFonts w:hint="eastAsia"/>
        </w:rPr>
        <w:t>3.3 投标文件的澄清</w:t>
      </w:r>
      <w:bookmarkEnd w:id="728"/>
      <w:bookmarkEnd w:id="729"/>
      <w:bookmarkEnd w:id="730"/>
      <w:bookmarkEnd w:id="731"/>
      <w:bookmarkEnd w:id="732"/>
      <w:bookmarkEnd w:id="733"/>
      <w:bookmarkEnd w:id="734"/>
      <w:bookmarkEnd w:id="735"/>
      <w:bookmarkEnd w:id="736"/>
      <w:bookmarkEnd w:id="737"/>
      <w:bookmarkEnd w:id="738"/>
    </w:p>
    <w:p w14:paraId="70262C1F">
      <w:pPr>
        <w:autoSpaceDE w:val="0"/>
        <w:autoSpaceDN w:val="0"/>
        <w:adjustRightInd w:val="0"/>
        <w:spacing w:line="360" w:lineRule="auto"/>
        <w:ind w:left="100" w:right="139" w:firstLine="420"/>
        <w:rPr>
          <w:rFonts w:hint="eastAsia"/>
          <w:kern w:val="0"/>
          <w:szCs w:val="21"/>
        </w:rPr>
      </w:pPr>
      <w:r>
        <w:rPr>
          <w:rFonts w:hint="eastAsia"/>
          <w:kern w:val="0"/>
          <w:szCs w:val="21"/>
        </w:rPr>
        <w:t>3.3.1 在</w:t>
      </w:r>
      <w:r>
        <w:rPr>
          <w:rFonts w:hint="eastAsia"/>
          <w:spacing w:val="-2"/>
          <w:kern w:val="0"/>
          <w:szCs w:val="21"/>
        </w:rPr>
        <w:t>评</w:t>
      </w:r>
      <w:r>
        <w:rPr>
          <w:rFonts w:hint="eastAsia"/>
          <w:kern w:val="0"/>
          <w:szCs w:val="21"/>
        </w:rPr>
        <w:t>标</w:t>
      </w:r>
      <w:r>
        <w:rPr>
          <w:rFonts w:hint="eastAsia"/>
          <w:spacing w:val="-2"/>
          <w:kern w:val="0"/>
          <w:szCs w:val="21"/>
        </w:rPr>
        <w:t>过</w:t>
      </w:r>
      <w:r>
        <w:rPr>
          <w:rFonts w:hint="eastAsia"/>
          <w:kern w:val="0"/>
          <w:szCs w:val="21"/>
        </w:rPr>
        <w:t>程中</w:t>
      </w:r>
      <w:r>
        <w:rPr>
          <w:rFonts w:hint="eastAsia"/>
          <w:spacing w:val="-41"/>
          <w:kern w:val="0"/>
          <w:szCs w:val="21"/>
        </w:rPr>
        <w:t>，</w:t>
      </w:r>
      <w:r>
        <w:rPr>
          <w:rFonts w:hint="eastAsia"/>
          <w:kern w:val="0"/>
          <w:szCs w:val="21"/>
        </w:rPr>
        <w:t>评</w:t>
      </w:r>
      <w:r>
        <w:rPr>
          <w:rFonts w:hint="eastAsia"/>
          <w:spacing w:val="-2"/>
          <w:kern w:val="0"/>
          <w:szCs w:val="21"/>
        </w:rPr>
        <w:t>标</w:t>
      </w:r>
      <w:r>
        <w:rPr>
          <w:rFonts w:hint="eastAsia"/>
          <w:kern w:val="0"/>
          <w:szCs w:val="21"/>
        </w:rPr>
        <w:t>委员</w:t>
      </w:r>
      <w:r>
        <w:rPr>
          <w:rFonts w:hint="eastAsia"/>
          <w:spacing w:val="-2"/>
          <w:kern w:val="0"/>
          <w:szCs w:val="21"/>
        </w:rPr>
        <w:t>会</w:t>
      </w:r>
      <w:r>
        <w:rPr>
          <w:rFonts w:hint="eastAsia"/>
          <w:kern w:val="0"/>
          <w:szCs w:val="21"/>
        </w:rPr>
        <w:t>可</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形</w:t>
      </w:r>
      <w:r>
        <w:rPr>
          <w:rFonts w:hint="eastAsia"/>
          <w:spacing w:val="-2"/>
          <w:kern w:val="0"/>
          <w:szCs w:val="21"/>
        </w:rPr>
        <w:t>式</w:t>
      </w:r>
      <w:r>
        <w:rPr>
          <w:rFonts w:hint="eastAsia"/>
          <w:kern w:val="0"/>
          <w:szCs w:val="21"/>
        </w:rPr>
        <w:t>要</w:t>
      </w:r>
      <w:r>
        <w:rPr>
          <w:rFonts w:hint="eastAsia"/>
          <w:spacing w:val="-2"/>
          <w:kern w:val="0"/>
          <w:szCs w:val="21"/>
        </w:rPr>
        <w:t>求</w:t>
      </w:r>
      <w:r>
        <w:rPr>
          <w:rFonts w:hint="eastAsia"/>
          <w:kern w:val="0"/>
          <w:szCs w:val="21"/>
        </w:rPr>
        <w:t>投标</w:t>
      </w:r>
      <w:r>
        <w:rPr>
          <w:rFonts w:hint="eastAsia"/>
          <w:spacing w:val="-2"/>
          <w:kern w:val="0"/>
          <w:szCs w:val="21"/>
        </w:rPr>
        <w:t>人</w:t>
      </w:r>
      <w:r>
        <w:rPr>
          <w:rFonts w:hint="eastAsia"/>
          <w:kern w:val="0"/>
          <w:szCs w:val="21"/>
        </w:rPr>
        <w:t>对</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中</w:t>
      </w:r>
      <w:r>
        <w:rPr>
          <w:rFonts w:hint="eastAsia"/>
          <w:kern w:val="0"/>
          <w:szCs w:val="21"/>
        </w:rPr>
        <w:t>含</w:t>
      </w:r>
      <w:r>
        <w:rPr>
          <w:rFonts w:hint="eastAsia"/>
          <w:spacing w:val="-2"/>
          <w:kern w:val="0"/>
          <w:szCs w:val="21"/>
        </w:rPr>
        <w:t>义</w:t>
      </w:r>
      <w:r>
        <w:rPr>
          <w:rFonts w:hint="eastAsia"/>
          <w:kern w:val="0"/>
          <w:szCs w:val="21"/>
        </w:rPr>
        <w:t>不明</w:t>
      </w:r>
      <w:r>
        <w:rPr>
          <w:rFonts w:hint="eastAsia"/>
          <w:spacing w:val="-2"/>
          <w:kern w:val="0"/>
          <w:szCs w:val="21"/>
        </w:rPr>
        <w:t>确</w:t>
      </w:r>
      <w:r>
        <w:rPr>
          <w:rFonts w:hint="eastAsia"/>
          <w:spacing w:val="-38"/>
          <w:kern w:val="0"/>
          <w:szCs w:val="21"/>
        </w:rPr>
        <w:t>、</w:t>
      </w:r>
      <w:r>
        <w:rPr>
          <w:rFonts w:hint="eastAsia"/>
          <w:spacing w:val="-2"/>
          <w:kern w:val="0"/>
          <w:szCs w:val="21"/>
        </w:rPr>
        <w:t>对</w:t>
      </w:r>
      <w:r>
        <w:rPr>
          <w:rFonts w:hint="eastAsia"/>
          <w:kern w:val="0"/>
          <w:szCs w:val="21"/>
        </w:rPr>
        <w:t>同类问题表述不一</w:t>
      </w:r>
      <w:r>
        <w:rPr>
          <w:rFonts w:hint="eastAsia"/>
          <w:spacing w:val="-2"/>
          <w:kern w:val="0"/>
          <w:szCs w:val="21"/>
        </w:rPr>
        <w:t>致</w:t>
      </w:r>
      <w:r>
        <w:rPr>
          <w:rFonts w:hint="eastAsia"/>
          <w:kern w:val="0"/>
          <w:szCs w:val="21"/>
        </w:rPr>
        <w:t>或者</w:t>
      </w:r>
      <w:r>
        <w:rPr>
          <w:rFonts w:hint="eastAsia"/>
          <w:spacing w:val="-2"/>
          <w:kern w:val="0"/>
          <w:szCs w:val="21"/>
        </w:rPr>
        <w:t>有</w:t>
      </w:r>
      <w:r>
        <w:rPr>
          <w:rFonts w:hint="eastAsia"/>
          <w:kern w:val="0"/>
          <w:szCs w:val="21"/>
        </w:rPr>
        <w:t>明显文字和计算</w:t>
      </w:r>
      <w:r>
        <w:rPr>
          <w:rFonts w:hint="eastAsia"/>
          <w:spacing w:val="-2"/>
          <w:kern w:val="0"/>
          <w:szCs w:val="21"/>
        </w:rPr>
        <w:t>错</w:t>
      </w:r>
      <w:r>
        <w:rPr>
          <w:rFonts w:hint="eastAsia"/>
          <w:kern w:val="0"/>
          <w:szCs w:val="21"/>
        </w:rPr>
        <w:t>误的</w:t>
      </w:r>
      <w:r>
        <w:rPr>
          <w:rFonts w:hint="eastAsia"/>
          <w:spacing w:val="-2"/>
          <w:kern w:val="0"/>
          <w:szCs w:val="21"/>
        </w:rPr>
        <w:t>内</w:t>
      </w:r>
      <w:r>
        <w:rPr>
          <w:rFonts w:hint="eastAsia"/>
          <w:kern w:val="0"/>
          <w:szCs w:val="21"/>
        </w:rPr>
        <w:t>容作必要的澄</w:t>
      </w:r>
      <w:r>
        <w:rPr>
          <w:rFonts w:hint="eastAsia"/>
          <w:spacing w:val="1"/>
          <w:kern w:val="0"/>
          <w:szCs w:val="21"/>
        </w:rPr>
        <w:t>清</w:t>
      </w:r>
      <w:r>
        <w:rPr>
          <w:rFonts w:hint="eastAsia"/>
          <w:spacing w:val="-2"/>
          <w:kern w:val="0"/>
          <w:szCs w:val="21"/>
        </w:rPr>
        <w:t>、</w:t>
      </w:r>
      <w:r>
        <w:rPr>
          <w:rFonts w:hint="eastAsia"/>
          <w:kern w:val="0"/>
          <w:szCs w:val="21"/>
        </w:rPr>
        <w:t>说明</w:t>
      </w:r>
      <w:r>
        <w:rPr>
          <w:rFonts w:hint="eastAsia"/>
          <w:spacing w:val="-2"/>
          <w:kern w:val="0"/>
          <w:szCs w:val="21"/>
        </w:rPr>
        <w:t>或</w:t>
      </w:r>
      <w:r>
        <w:rPr>
          <w:rFonts w:hint="eastAsia"/>
          <w:kern w:val="0"/>
          <w:szCs w:val="21"/>
        </w:rPr>
        <w:t>补正。澄</w:t>
      </w:r>
      <w:r>
        <w:rPr>
          <w:rFonts w:hint="eastAsia"/>
          <w:spacing w:val="1"/>
          <w:kern w:val="0"/>
          <w:szCs w:val="21"/>
        </w:rPr>
        <w:t>清</w:t>
      </w:r>
      <w:r>
        <w:rPr>
          <w:rFonts w:hint="eastAsia"/>
          <w:kern w:val="0"/>
          <w:szCs w:val="21"/>
        </w:rPr>
        <w:t>、</w:t>
      </w:r>
      <w:r>
        <w:rPr>
          <w:rFonts w:hint="eastAsia"/>
          <w:spacing w:val="-2"/>
          <w:kern w:val="0"/>
          <w:szCs w:val="21"/>
        </w:rPr>
        <w:t>说</w:t>
      </w:r>
      <w:r>
        <w:rPr>
          <w:rFonts w:hint="eastAsia"/>
          <w:kern w:val="0"/>
          <w:szCs w:val="21"/>
        </w:rPr>
        <w:t>明或补</w:t>
      </w:r>
      <w:r>
        <w:rPr>
          <w:rFonts w:hint="eastAsia"/>
          <w:spacing w:val="-2"/>
          <w:kern w:val="0"/>
          <w:szCs w:val="21"/>
        </w:rPr>
        <w:t>正</w:t>
      </w:r>
      <w:r>
        <w:rPr>
          <w:rFonts w:hint="eastAsia"/>
          <w:kern w:val="0"/>
          <w:szCs w:val="21"/>
        </w:rPr>
        <w:t>应</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方</w:t>
      </w:r>
      <w:r>
        <w:rPr>
          <w:rFonts w:hint="eastAsia"/>
          <w:spacing w:val="-2"/>
          <w:kern w:val="0"/>
          <w:szCs w:val="21"/>
        </w:rPr>
        <w:t>式</w:t>
      </w:r>
      <w:r>
        <w:rPr>
          <w:rFonts w:hint="eastAsia"/>
          <w:kern w:val="0"/>
          <w:szCs w:val="21"/>
        </w:rPr>
        <w:t>进</w:t>
      </w:r>
      <w:r>
        <w:rPr>
          <w:rFonts w:hint="eastAsia"/>
          <w:spacing w:val="-2"/>
          <w:kern w:val="0"/>
          <w:szCs w:val="21"/>
        </w:rPr>
        <w:t>行</w:t>
      </w:r>
      <w:r>
        <w:rPr>
          <w:rFonts w:hint="eastAsia"/>
          <w:szCs w:val="21"/>
        </w:rPr>
        <w:t>，并加盖公章，或者由法定代表人或其授权的代表签字</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不</w:t>
      </w:r>
      <w:r>
        <w:rPr>
          <w:rFonts w:hint="eastAsia"/>
          <w:kern w:val="0"/>
          <w:szCs w:val="21"/>
        </w:rPr>
        <w:t>接</w:t>
      </w:r>
      <w:r>
        <w:rPr>
          <w:rFonts w:hint="eastAsia"/>
          <w:spacing w:val="-2"/>
          <w:kern w:val="0"/>
          <w:szCs w:val="21"/>
        </w:rPr>
        <w:t>受</w:t>
      </w:r>
      <w:r>
        <w:rPr>
          <w:rFonts w:hint="eastAsia"/>
          <w:kern w:val="0"/>
          <w:szCs w:val="21"/>
        </w:rPr>
        <w:t>投</w:t>
      </w:r>
      <w:r>
        <w:rPr>
          <w:rFonts w:hint="eastAsia"/>
          <w:spacing w:val="-2"/>
          <w:kern w:val="0"/>
          <w:szCs w:val="21"/>
        </w:rPr>
        <w:t>标</w:t>
      </w:r>
      <w:r>
        <w:rPr>
          <w:rFonts w:hint="eastAsia"/>
          <w:kern w:val="0"/>
          <w:szCs w:val="21"/>
        </w:rPr>
        <w:t>人主</w:t>
      </w:r>
      <w:r>
        <w:rPr>
          <w:rFonts w:hint="eastAsia"/>
          <w:spacing w:val="-2"/>
          <w:kern w:val="0"/>
          <w:szCs w:val="21"/>
        </w:rPr>
        <w:t>动</w:t>
      </w:r>
      <w:r>
        <w:rPr>
          <w:rFonts w:hint="eastAsia"/>
          <w:kern w:val="0"/>
          <w:szCs w:val="21"/>
        </w:rPr>
        <w:t>提</w:t>
      </w:r>
      <w:r>
        <w:rPr>
          <w:rFonts w:hint="eastAsia"/>
          <w:spacing w:val="-2"/>
          <w:kern w:val="0"/>
          <w:szCs w:val="21"/>
        </w:rPr>
        <w:t>出</w:t>
      </w:r>
      <w:r>
        <w:rPr>
          <w:rFonts w:hint="eastAsia"/>
          <w:kern w:val="0"/>
          <w:szCs w:val="21"/>
        </w:rPr>
        <w:t>的</w:t>
      </w:r>
      <w:r>
        <w:rPr>
          <w:rFonts w:hint="eastAsia"/>
          <w:spacing w:val="-2"/>
          <w:kern w:val="0"/>
          <w:szCs w:val="21"/>
        </w:rPr>
        <w:t>澄</w:t>
      </w:r>
      <w:r>
        <w:rPr>
          <w:rFonts w:hint="eastAsia"/>
          <w:kern w:val="0"/>
          <w:szCs w:val="21"/>
        </w:rPr>
        <w:t>清</w:t>
      </w:r>
      <w:r>
        <w:rPr>
          <w:rFonts w:hint="eastAsia"/>
          <w:spacing w:val="-2"/>
          <w:kern w:val="0"/>
          <w:szCs w:val="21"/>
        </w:rPr>
        <w:t>、</w:t>
      </w:r>
      <w:r>
        <w:rPr>
          <w:rFonts w:hint="eastAsia"/>
          <w:kern w:val="0"/>
          <w:szCs w:val="21"/>
        </w:rPr>
        <w:t>说</w:t>
      </w:r>
      <w:r>
        <w:rPr>
          <w:rFonts w:hint="eastAsia"/>
          <w:spacing w:val="-2"/>
          <w:kern w:val="0"/>
          <w:szCs w:val="21"/>
        </w:rPr>
        <w:t>明</w:t>
      </w:r>
      <w:r>
        <w:rPr>
          <w:rFonts w:hint="eastAsia"/>
          <w:kern w:val="0"/>
          <w:szCs w:val="21"/>
        </w:rPr>
        <w:t>或补</w:t>
      </w:r>
      <w:r>
        <w:rPr>
          <w:rFonts w:hint="eastAsia"/>
          <w:spacing w:val="-2"/>
          <w:kern w:val="0"/>
          <w:szCs w:val="21"/>
        </w:rPr>
        <w:t>正</w:t>
      </w:r>
      <w:r>
        <w:rPr>
          <w:rFonts w:hint="eastAsia"/>
          <w:kern w:val="0"/>
          <w:szCs w:val="21"/>
        </w:rPr>
        <w:t>。</w:t>
      </w:r>
    </w:p>
    <w:p w14:paraId="03778585">
      <w:pPr>
        <w:autoSpaceDE w:val="0"/>
        <w:autoSpaceDN w:val="0"/>
        <w:adjustRightInd w:val="0"/>
        <w:spacing w:before="10" w:line="360" w:lineRule="auto"/>
        <w:ind w:left="100" w:right="139" w:firstLine="420"/>
        <w:rPr>
          <w:rFonts w:hint="eastAsia"/>
          <w:kern w:val="0"/>
          <w:szCs w:val="21"/>
        </w:rPr>
      </w:pPr>
      <w:r>
        <w:rPr>
          <w:rFonts w:hint="eastAsia"/>
          <w:kern w:val="0"/>
          <w:szCs w:val="21"/>
        </w:rPr>
        <w:t>3.3.2 澄清</w:t>
      </w:r>
      <w:r>
        <w:rPr>
          <w:rFonts w:hint="eastAsia"/>
          <w:spacing w:val="-41"/>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不</w:t>
      </w:r>
      <w:r>
        <w:rPr>
          <w:rFonts w:hint="eastAsia"/>
          <w:kern w:val="0"/>
          <w:szCs w:val="21"/>
        </w:rPr>
        <w:t>得超</w:t>
      </w:r>
      <w:r>
        <w:rPr>
          <w:rFonts w:hint="eastAsia"/>
          <w:spacing w:val="-2"/>
          <w:kern w:val="0"/>
          <w:szCs w:val="21"/>
        </w:rPr>
        <w:t>出</w:t>
      </w:r>
      <w:r>
        <w:rPr>
          <w:rFonts w:hint="eastAsia"/>
          <w:kern w:val="0"/>
          <w:szCs w:val="21"/>
        </w:rPr>
        <w:t>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的</w:t>
      </w:r>
      <w:r>
        <w:rPr>
          <w:rFonts w:hint="eastAsia"/>
          <w:spacing w:val="-2"/>
          <w:kern w:val="0"/>
          <w:szCs w:val="21"/>
        </w:rPr>
        <w:t>范</w:t>
      </w:r>
      <w:r>
        <w:rPr>
          <w:rFonts w:hint="eastAsia"/>
          <w:kern w:val="0"/>
          <w:szCs w:val="21"/>
        </w:rPr>
        <w:t>围</w:t>
      </w:r>
      <w:r>
        <w:rPr>
          <w:rFonts w:hint="eastAsia"/>
          <w:spacing w:val="-2"/>
          <w:kern w:val="0"/>
          <w:szCs w:val="21"/>
        </w:rPr>
        <w:t>且</w:t>
      </w:r>
      <w:r>
        <w:rPr>
          <w:rFonts w:hint="eastAsia"/>
          <w:kern w:val="0"/>
          <w:szCs w:val="21"/>
        </w:rPr>
        <w:t>不得</w:t>
      </w:r>
      <w:r>
        <w:rPr>
          <w:rFonts w:hint="eastAsia"/>
          <w:spacing w:val="-2"/>
          <w:kern w:val="0"/>
          <w:szCs w:val="21"/>
        </w:rPr>
        <w:t>改</w:t>
      </w:r>
      <w:r>
        <w:rPr>
          <w:rFonts w:hint="eastAsia"/>
          <w:kern w:val="0"/>
          <w:szCs w:val="21"/>
        </w:rPr>
        <w:t>变</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的</w:t>
      </w:r>
      <w:r>
        <w:rPr>
          <w:rFonts w:hint="eastAsia"/>
          <w:kern w:val="0"/>
          <w:szCs w:val="21"/>
        </w:rPr>
        <w:t>实</w:t>
      </w:r>
      <w:r>
        <w:rPr>
          <w:rFonts w:hint="eastAsia"/>
          <w:spacing w:val="-2"/>
          <w:kern w:val="0"/>
          <w:szCs w:val="21"/>
        </w:rPr>
        <w:t>质</w:t>
      </w:r>
      <w:r>
        <w:rPr>
          <w:rFonts w:hint="eastAsia"/>
          <w:kern w:val="0"/>
          <w:szCs w:val="21"/>
        </w:rPr>
        <w:t>性内</w:t>
      </w:r>
      <w:r>
        <w:rPr>
          <w:rFonts w:hint="eastAsia"/>
          <w:spacing w:val="-2"/>
          <w:kern w:val="0"/>
          <w:szCs w:val="21"/>
        </w:rPr>
        <w:t>容</w:t>
      </w:r>
      <w:r>
        <w:rPr>
          <w:rFonts w:hint="eastAsia"/>
          <w:spacing w:val="-38"/>
          <w:kern w:val="0"/>
          <w:szCs w:val="21"/>
        </w:rPr>
        <w:t>，</w:t>
      </w:r>
      <w:r>
        <w:rPr>
          <w:rFonts w:hint="eastAsia"/>
          <w:spacing w:val="-2"/>
          <w:kern w:val="0"/>
          <w:szCs w:val="21"/>
        </w:rPr>
        <w:t>并</w:t>
      </w:r>
      <w:r>
        <w:rPr>
          <w:rFonts w:hint="eastAsia"/>
          <w:kern w:val="0"/>
          <w:szCs w:val="21"/>
        </w:rPr>
        <w:t>构成投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的</w:t>
      </w:r>
      <w:r>
        <w:rPr>
          <w:rFonts w:hint="eastAsia"/>
          <w:spacing w:val="-2"/>
          <w:kern w:val="0"/>
          <w:szCs w:val="21"/>
        </w:rPr>
        <w:t>组</w:t>
      </w:r>
      <w:r>
        <w:rPr>
          <w:rFonts w:hint="eastAsia"/>
          <w:kern w:val="0"/>
          <w:szCs w:val="21"/>
        </w:rPr>
        <w:t>成</w:t>
      </w:r>
      <w:r>
        <w:rPr>
          <w:rFonts w:hint="eastAsia"/>
          <w:spacing w:val="-2"/>
          <w:kern w:val="0"/>
          <w:szCs w:val="21"/>
        </w:rPr>
        <w:t>部</w:t>
      </w:r>
      <w:r>
        <w:rPr>
          <w:rFonts w:hint="eastAsia"/>
          <w:kern w:val="0"/>
          <w:szCs w:val="21"/>
        </w:rPr>
        <w:t>分。</w:t>
      </w:r>
    </w:p>
    <w:p w14:paraId="1B49F44B">
      <w:pPr>
        <w:autoSpaceDE w:val="0"/>
        <w:autoSpaceDN w:val="0"/>
        <w:adjustRightInd w:val="0"/>
        <w:spacing w:before="11" w:line="360" w:lineRule="auto"/>
        <w:ind w:left="100" w:right="34" w:firstLine="420"/>
        <w:jc w:val="left"/>
        <w:rPr>
          <w:rFonts w:hint="eastAsia"/>
          <w:kern w:val="0"/>
          <w:szCs w:val="21"/>
        </w:rPr>
      </w:pPr>
      <w:r>
        <w:rPr>
          <w:rFonts w:hint="eastAsia"/>
          <w:kern w:val="0"/>
          <w:szCs w:val="21"/>
        </w:rPr>
        <w:t>3.3.3</w:t>
      </w:r>
      <w:r>
        <w:rPr>
          <w:rFonts w:hint="eastAsia"/>
          <w:spacing w:val="51"/>
          <w:kern w:val="0"/>
          <w:szCs w:val="21"/>
        </w:rPr>
        <w:t xml:space="preserve"> </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对</w:t>
      </w:r>
      <w:r>
        <w:rPr>
          <w:rFonts w:hint="eastAsia"/>
          <w:kern w:val="0"/>
          <w:szCs w:val="21"/>
        </w:rPr>
        <w:t>投</w:t>
      </w:r>
      <w:r>
        <w:rPr>
          <w:rFonts w:hint="eastAsia"/>
          <w:spacing w:val="-2"/>
          <w:kern w:val="0"/>
          <w:szCs w:val="21"/>
        </w:rPr>
        <w:t>标人</w:t>
      </w:r>
      <w:r>
        <w:rPr>
          <w:rFonts w:hint="eastAsia"/>
          <w:kern w:val="0"/>
          <w:szCs w:val="21"/>
        </w:rPr>
        <w:t>提交</w:t>
      </w:r>
      <w:r>
        <w:rPr>
          <w:rFonts w:hint="eastAsia"/>
          <w:spacing w:val="-2"/>
          <w:kern w:val="0"/>
          <w:szCs w:val="21"/>
        </w:rPr>
        <w:t>的</w:t>
      </w:r>
      <w:r>
        <w:rPr>
          <w:rFonts w:hint="eastAsia"/>
          <w:kern w:val="0"/>
          <w:szCs w:val="21"/>
        </w:rPr>
        <w:t>澄清</w:t>
      </w:r>
      <w:r>
        <w:rPr>
          <w:rFonts w:hint="eastAsia"/>
          <w:spacing w:val="-94"/>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有</w:t>
      </w:r>
      <w:r>
        <w:rPr>
          <w:rFonts w:hint="eastAsia"/>
          <w:kern w:val="0"/>
          <w:szCs w:val="21"/>
        </w:rPr>
        <w:t>疑问的</w:t>
      </w:r>
      <w:r>
        <w:rPr>
          <w:rFonts w:hint="eastAsia"/>
          <w:spacing w:val="-94"/>
          <w:kern w:val="0"/>
          <w:szCs w:val="21"/>
        </w:rPr>
        <w:t>，</w:t>
      </w:r>
      <w:r>
        <w:rPr>
          <w:rFonts w:hint="eastAsia"/>
          <w:kern w:val="0"/>
          <w:szCs w:val="21"/>
        </w:rPr>
        <w:t>可</w:t>
      </w:r>
      <w:r>
        <w:rPr>
          <w:rFonts w:hint="eastAsia"/>
          <w:spacing w:val="-2"/>
          <w:kern w:val="0"/>
          <w:szCs w:val="21"/>
        </w:rPr>
        <w:t>以</w:t>
      </w:r>
      <w:r>
        <w:rPr>
          <w:rFonts w:hint="eastAsia"/>
          <w:kern w:val="0"/>
          <w:szCs w:val="21"/>
        </w:rPr>
        <w:t>要</w:t>
      </w:r>
      <w:r>
        <w:rPr>
          <w:rFonts w:hint="eastAsia"/>
          <w:spacing w:val="-2"/>
          <w:kern w:val="0"/>
          <w:szCs w:val="21"/>
        </w:rPr>
        <w:t>求</w:t>
      </w:r>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进</w:t>
      </w:r>
      <w:r>
        <w:rPr>
          <w:rFonts w:hint="eastAsia"/>
          <w:kern w:val="0"/>
          <w:szCs w:val="21"/>
        </w:rPr>
        <w:t>一步</w:t>
      </w:r>
      <w:r>
        <w:rPr>
          <w:rFonts w:hint="eastAsia"/>
          <w:spacing w:val="-2"/>
          <w:kern w:val="0"/>
          <w:szCs w:val="21"/>
        </w:rPr>
        <w:t>澄</w:t>
      </w:r>
      <w:r>
        <w:rPr>
          <w:rFonts w:hint="eastAsia"/>
          <w:kern w:val="0"/>
          <w:szCs w:val="21"/>
        </w:rPr>
        <w:t>清、说明</w:t>
      </w:r>
      <w:r>
        <w:rPr>
          <w:rFonts w:hint="eastAsia"/>
          <w:spacing w:val="-2"/>
          <w:kern w:val="0"/>
          <w:szCs w:val="21"/>
        </w:rPr>
        <w:t>或</w:t>
      </w:r>
      <w:r>
        <w:rPr>
          <w:rFonts w:hint="eastAsia"/>
          <w:kern w:val="0"/>
          <w:szCs w:val="21"/>
        </w:rPr>
        <w:t>补</w:t>
      </w:r>
      <w:r>
        <w:rPr>
          <w:rFonts w:hint="eastAsia"/>
          <w:spacing w:val="-3"/>
          <w:kern w:val="0"/>
          <w:szCs w:val="21"/>
        </w:rPr>
        <w:t>正</w:t>
      </w:r>
      <w:r>
        <w:rPr>
          <w:rFonts w:hint="eastAsia"/>
          <w:kern w:val="0"/>
          <w:szCs w:val="21"/>
        </w:rPr>
        <w:t>，</w:t>
      </w:r>
      <w:r>
        <w:rPr>
          <w:rFonts w:hint="eastAsia"/>
          <w:spacing w:val="-2"/>
          <w:kern w:val="0"/>
          <w:szCs w:val="21"/>
        </w:rPr>
        <w:t>直</w:t>
      </w:r>
      <w:r>
        <w:rPr>
          <w:rFonts w:hint="eastAsia"/>
          <w:kern w:val="0"/>
          <w:szCs w:val="21"/>
        </w:rPr>
        <w:t>至</w:t>
      </w:r>
      <w:r>
        <w:rPr>
          <w:rFonts w:hint="eastAsia"/>
          <w:spacing w:val="-2"/>
          <w:kern w:val="0"/>
          <w:szCs w:val="21"/>
        </w:rPr>
        <w:t>满</w:t>
      </w:r>
      <w:r>
        <w:rPr>
          <w:rFonts w:hint="eastAsia"/>
          <w:kern w:val="0"/>
          <w:szCs w:val="21"/>
        </w:rPr>
        <w:t>足</w:t>
      </w:r>
      <w:r>
        <w:rPr>
          <w:rFonts w:hint="eastAsia"/>
          <w:spacing w:val="-2"/>
          <w:kern w:val="0"/>
          <w:szCs w:val="21"/>
        </w:rPr>
        <w:t>评</w:t>
      </w:r>
      <w:r>
        <w:rPr>
          <w:rFonts w:hint="eastAsia"/>
          <w:kern w:val="0"/>
          <w:szCs w:val="21"/>
        </w:rPr>
        <w:t>标委</w:t>
      </w:r>
      <w:r>
        <w:rPr>
          <w:rFonts w:hint="eastAsia"/>
          <w:spacing w:val="-2"/>
          <w:kern w:val="0"/>
          <w:szCs w:val="21"/>
        </w:rPr>
        <w:t>员</w:t>
      </w:r>
      <w:r>
        <w:rPr>
          <w:rFonts w:hint="eastAsia"/>
          <w:kern w:val="0"/>
          <w:szCs w:val="21"/>
        </w:rPr>
        <w:t>会</w:t>
      </w:r>
      <w:r>
        <w:rPr>
          <w:rFonts w:hint="eastAsia"/>
          <w:spacing w:val="-2"/>
          <w:kern w:val="0"/>
          <w:szCs w:val="21"/>
        </w:rPr>
        <w:t>的</w:t>
      </w:r>
      <w:r>
        <w:rPr>
          <w:rFonts w:hint="eastAsia"/>
          <w:kern w:val="0"/>
          <w:szCs w:val="21"/>
        </w:rPr>
        <w:t>要</w:t>
      </w:r>
      <w:r>
        <w:rPr>
          <w:rFonts w:hint="eastAsia"/>
          <w:spacing w:val="-2"/>
          <w:kern w:val="0"/>
          <w:szCs w:val="21"/>
        </w:rPr>
        <w:t>求</w:t>
      </w:r>
      <w:r>
        <w:rPr>
          <w:rFonts w:hint="eastAsia"/>
          <w:kern w:val="0"/>
          <w:szCs w:val="21"/>
        </w:rPr>
        <w:t>。</w:t>
      </w:r>
    </w:p>
    <w:p w14:paraId="7F2DA4D4">
      <w:pPr>
        <w:pStyle w:val="4"/>
        <w:rPr>
          <w:rFonts w:hint="eastAsia"/>
          <w:b w:val="0"/>
          <w:spacing w:val="-2"/>
          <w:kern w:val="0"/>
        </w:rPr>
      </w:pPr>
      <w:bookmarkStart w:id="739" w:name="_Toc25852"/>
      <w:bookmarkStart w:id="740" w:name="_Toc7956"/>
      <w:bookmarkStart w:id="741" w:name="_Toc19756"/>
      <w:bookmarkStart w:id="742" w:name="_Toc27845"/>
      <w:bookmarkStart w:id="743" w:name="_Toc16317"/>
      <w:bookmarkStart w:id="744" w:name="_Toc25857"/>
      <w:bookmarkStart w:id="745" w:name="_Toc12060"/>
      <w:bookmarkStart w:id="746" w:name="_Toc28041"/>
      <w:bookmarkStart w:id="747" w:name="_Toc12108"/>
      <w:bookmarkStart w:id="748" w:name="_Toc10336"/>
      <w:bookmarkStart w:id="749" w:name="_Toc19426"/>
      <w:r>
        <w:rPr>
          <w:rFonts w:hint="eastAsia"/>
        </w:rPr>
        <w:t>3.4 评标结果</w:t>
      </w:r>
      <w:bookmarkEnd w:id="739"/>
      <w:bookmarkEnd w:id="740"/>
      <w:bookmarkEnd w:id="741"/>
      <w:bookmarkEnd w:id="742"/>
      <w:bookmarkEnd w:id="743"/>
      <w:bookmarkEnd w:id="744"/>
      <w:bookmarkEnd w:id="745"/>
      <w:bookmarkEnd w:id="746"/>
      <w:bookmarkEnd w:id="747"/>
      <w:bookmarkEnd w:id="748"/>
      <w:bookmarkEnd w:id="749"/>
    </w:p>
    <w:p w14:paraId="15195314">
      <w:pPr>
        <w:autoSpaceDE w:val="0"/>
        <w:autoSpaceDN w:val="0"/>
        <w:adjustRightInd w:val="0"/>
        <w:spacing w:line="360" w:lineRule="auto"/>
        <w:ind w:left="100" w:right="142" w:firstLine="420"/>
        <w:rPr>
          <w:rFonts w:hint="eastAsia"/>
          <w:kern w:val="0"/>
          <w:szCs w:val="21"/>
        </w:rPr>
      </w:pPr>
      <w:r>
        <w:rPr>
          <w:rFonts w:hint="eastAsia"/>
          <w:spacing w:val="-2"/>
          <w:kern w:val="0"/>
          <w:szCs w:val="21"/>
        </w:rPr>
        <w:t>3.4.1 除采购人授权直接确定中标人外，评标委员会按照各评委综合评分的算术平均值得分由</w:t>
      </w:r>
      <w:r>
        <w:rPr>
          <w:rFonts w:hint="eastAsia"/>
          <w:kern w:val="0"/>
          <w:szCs w:val="21"/>
        </w:rPr>
        <w:t>高</w:t>
      </w:r>
      <w:r>
        <w:rPr>
          <w:rFonts w:hint="eastAsia"/>
          <w:spacing w:val="-2"/>
          <w:kern w:val="0"/>
          <w:szCs w:val="21"/>
        </w:rPr>
        <w:t>到</w:t>
      </w:r>
      <w:r>
        <w:rPr>
          <w:rFonts w:hint="eastAsia"/>
          <w:kern w:val="0"/>
          <w:szCs w:val="21"/>
        </w:rPr>
        <w:t>低的顺</w:t>
      </w:r>
      <w:r>
        <w:rPr>
          <w:rFonts w:hint="eastAsia"/>
          <w:spacing w:val="-2"/>
          <w:kern w:val="0"/>
          <w:szCs w:val="21"/>
        </w:rPr>
        <w:t>序</w:t>
      </w:r>
      <w:r>
        <w:rPr>
          <w:rFonts w:hint="eastAsia"/>
          <w:kern w:val="0"/>
          <w:szCs w:val="21"/>
        </w:rPr>
        <w:t>推</w:t>
      </w:r>
      <w:r>
        <w:rPr>
          <w:rFonts w:hint="eastAsia"/>
          <w:spacing w:val="-2"/>
          <w:kern w:val="0"/>
          <w:szCs w:val="21"/>
        </w:rPr>
        <w:t>荐3名</w:t>
      </w:r>
      <w:r>
        <w:rPr>
          <w:rFonts w:hint="eastAsia"/>
          <w:kern w:val="0"/>
          <w:szCs w:val="21"/>
        </w:rPr>
        <w:t>中</w:t>
      </w:r>
      <w:r>
        <w:rPr>
          <w:rFonts w:hint="eastAsia"/>
          <w:spacing w:val="-2"/>
          <w:kern w:val="0"/>
          <w:szCs w:val="21"/>
        </w:rPr>
        <w:t>标</w:t>
      </w:r>
      <w:r>
        <w:rPr>
          <w:rFonts w:hint="eastAsia"/>
          <w:kern w:val="0"/>
          <w:szCs w:val="21"/>
        </w:rPr>
        <w:t>候</w:t>
      </w:r>
      <w:r>
        <w:rPr>
          <w:rFonts w:hint="eastAsia"/>
          <w:spacing w:val="-2"/>
          <w:kern w:val="0"/>
          <w:szCs w:val="21"/>
        </w:rPr>
        <w:t>选</w:t>
      </w:r>
      <w:r>
        <w:rPr>
          <w:rFonts w:hint="eastAsia"/>
          <w:kern w:val="0"/>
          <w:szCs w:val="21"/>
        </w:rPr>
        <w:t>人</w:t>
      </w:r>
      <w:r>
        <w:rPr>
          <w:rFonts w:hint="eastAsia"/>
          <w:spacing w:val="-2"/>
          <w:kern w:val="0"/>
          <w:szCs w:val="21"/>
        </w:rPr>
        <w:t>，</w:t>
      </w:r>
      <w:r>
        <w:rPr>
          <w:rFonts w:hint="eastAsia"/>
          <w:szCs w:val="21"/>
        </w:rPr>
        <w:t>得分相同的，按投标报价由低到高顺序排列。得分且投标报价相同的并列。投标文件满足招标文件全部实质性要求，且按照评审因素的量化指标评审得分最高的投标人为排名</w:t>
      </w:r>
      <w:r>
        <w:rPr>
          <w:rFonts w:hint="eastAsia"/>
          <w:spacing w:val="-2"/>
          <w:kern w:val="0"/>
          <w:szCs w:val="21"/>
        </w:rPr>
        <w:t>第一</w:t>
      </w:r>
      <w:r>
        <w:rPr>
          <w:rFonts w:hint="eastAsia"/>
          <w:szCs w:val="21"/>
        </w:rPr>
        <w:t>的中标候选人。</w:t>
      </w:r>
    </w:p>
    <w:p w14:paraId="0794D5B3">
      <w:pPr>
        <w:autoSpaceDE w:val="0"/>
        <w:autoSpaceDN w:val="0"/>
        <w:adjustRightInd w:val="0"/>
        <w:spacing w:before="40" w:line="360" w:lineRule="auto"/>
        <w:ind w:left="100" w:right="140" w:firstLine="420"/>
        <w:rPr>
          <w:rFonts w:hint="eastAsia"/>
          <w:kern w:val="0"/>
          <w:szCs w:val="21"/>
        </w:rPr>
        <w:sectPr>
          <w:pgSz w:w="11906" w:h="16838"/>
          <w:pgMar w:top="1417" w:right="1417" w:bottom="1417" w:left="1417" w:header="777" w:footer="641" w:gutter="0"/>
          <w:cols w:space="720" w:num="1"/>
          <w:docGrid w:linePitch="1" w:charSpace="0"/>
        </w:sectPr>
      </w:pPr>
      <w:r>
        <w:rPr>
          <w:rFonts w:hint="eastAsia"/>
          <w:kern w:val="0"/>
          <w:szCs w:val="21"/>
        </w:rPr>
        <w:t>3.4.2</w:t>
      </w:r>
      <w:r>
        <w:rPr>
          <w:rFonts w:hint="eastAsia"/>
          <w:spacing w:val="51"/>
          <w:kern w:val="0"/>
          <w:szCs w:val="21"/>
        </w:rPr>
        <w:t xml:space="preserve"> </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完</w:t>
      </w:r>
      <w:r>
        <w:rPr>
          <w:rFonts w:hint="eastAsia"/>
          <w:kern w:val="0"/>
          <w:szCs w:val="21"/>
        </w:rPr>
        <w:t>成</w:t>
      </w:r>
      <w:r>
        <w:rPr>
          <w:rFonts w:hint="eastAsia"/>
          <w:spacing w:val="-2"/>
          <w:kern w:val="0"/>
          <w:szCs w:val="21"/>
        </w:rPr>
        <w:t>评标</w:t>
      </w:r>
      <w:r>
        <w:rPr>
          <w:rFonts w:hint="eastAsia"/>
          <w:kern w:val="0"/>
          <w:szCs w:val="21"/>
        </w:rPr>
        <w:t>后，</w:t>
      </w:r>
      <w:r>
        <w:rPr>
          <w:rFonts w:hint="eastAsia"/>
          <w:spacing w:val="-2"/>
          <w:kern w:val="0"/>
          <w:szCs w:val="21"/>
        </w:rPr>
        <w:t>应</w:t>
      </w:r>
      <w:r>
        <w:rPr>
          <w:rFonts w:hint="eastAsia"/>
          <w:kern w:val="0"/>
          <w:szCs w:val="21"/>
        </w:rPr>
        <w:t>当</w:t>
      </w:r>
      <w:r>
        <w:rPr>
          <w:rFonts w:hint="eastAsia"/>
          <w:spacing w:val="-2"/>
          <w:kern w:val="0"/>
          <w:szCs w:val="21"/>
        </w:rPr>
        <w:t>向</w:t>
      </w:r>
      <w:r>
        <w:rPr>
          <w:rFonts w:hint="eastAsia"/>
          <w:kern w:val="0"/>
          <w:szCs w:val="21"/>
        </w:rPr>
        <w:t>采购人</w:t>
      </w:r>
      <w:r>
        <w:rPr>
          <w:rFonts w:hint="eastAsia"/>
          <w:spacing w:val="-2"/>
          <w:kern w:val="0"/>
          <w:szCs w:val="21"/>
        </w:rPr>
        <w:t>提</w:t>
      </w:r>
      <w:r>
        <w:rPr>
          <w:rFonts w:hint="eastAsia"/>
          <w:kern w:val="0"/>
          <w:szCs w:val="21"/>
        </w:rPr>
        <w:t>交</w:t>
      </w:r>
      <w:r>
        <w:rPr>
          <w:rFonts w:hint="eastAsia"/>
          <w:spacing w:val="-2"/>
          <w:kern w:val="0"/>
          <w:szCs w:val="21"/>
        </w:rPr>
        <w:t>书</w:t>
      </w:r>
      <w:r>
        <w:rPr>
          <w:rFonts w:hint="eastAsia"/>
          <w:kern w:val="0"/>
          <w:szCs w:val="21"/>
        </w:rPr>
        <w:t>面评</w:t>
      </w:r>
      <w:r>
        <w:rPr>
          <w:rFonts w:hint="eastAsia"/>
          <w:spacing w:val="-2"/>
          <w:kern w:val="0"/>
          <w:szCs w:val="21"/>
        </w:rPr>
        <w:t>标</w:t>
      </w:r>
      <w:r>
        <w:rPr>
          <w:rFonts w:hint="eastAsia"/>
          <w:kern w:val="0"/>
          <w:szCs w:val="21"/>
        </w:rPr>
        <w:t>报</w:t>
      </w:r>
      <w:r>
        <w:rPr>
          <w:rFonts w:hint="eastAsia"/>
          <w:spacing w:val="-2"/>
          <w:kern w:val="0"/>
          <w:szCs w:val="21"/>
        </w:rPr>
        <w:t>告</w:t>
      </w:r>
      <w:r>
        <w:rPr>
          <w:rFonts w:hint="eastAsia"/>
          <w:kern w:val="0"/>
          <w:szCs w:val="21"/>
        </w:rPr>
        <w:t>和</w:t>
      </w:r>
      <w:r>
        <w:rPr>
          <w:rFonts w:hint="eastAsia"/>
          <w:spacing w:val="-2"/>
          <w:kern w:val="0"/>
          <w:szCs w:val="21"/>
        </w:rPr>
        <w:t>中</w:t>
      </w:r>
      <w:r>
        <w:rPr>
          <w:rFonts w:hint="eastAsia"/>
          <w:kern w:val="0"/>
          <w:szCs w:val="21"/>
        </w:rPr>
        <w:t>标</w:t>
      </w:r>
      <w:r>
        <w:rPr>
          <w:rFonts w:hint="eastAsia"/>
          <w:spacing w:val="-2"/>
          <w:kern w:val="0"/>
          <w:szCs w:val="21"/>
        </w:rPr>
        <w:t>候</w:t>
      </w:r>
      <w:r>
        <w:rPr>
          <w:rFonts w:hint="eastAsia"/>
          <w:kern w:val="0"/>
          <w:szCs w:val="21"/>
        </w:rPr>
        <w:t>选</w:t>
      </w:r>
      <w:r>
        <w:rPr>
          <w:rFonts w:hint="eastAsia"/>
          <w:spacing w:val="-2"/>
          <w:kern w:val="0"/>
          <w:szCs w:val="21"/>
        </w:rPr>
        <w:t>人</w:t>
      </w:r>
      <w:r>
        <w:rPr>
          <w:rFonts w:hint="eastAsia"/>
          <w:kern w:val="0"/>
          <w:szCs w:val="21"/>
        </w:rPr>
        <w:t>名单。</w:t>
      </w:r>
    </w:p>
    <w:bookmarkEnd w:id="605"/>
    <w:bookmarkEnd w:id="606"/>
    <w:bookmarkEnd w:id="607"/>
    <w:bookmarkEnd w:id="608"/>
    <w:bookmarkEnd w:id="609"/>
    <w:bookmarkEnd w:id="610"/>
    <w:bookmarkEnd w:id="611"/>
    <w:bookmarkEnd w:id="612"/>
    <w:bookmarkEnd w:id="613"/>
    <w:bookmarkEnd w:id="614"/>
    <w:bookmarkEnd w:id="615"/>
    <w:p w14:paraId="73D6E6AD">
      <w:pPr>
        <w:pStyle w:val="2"/>
        <w:numPr>
          <w:ilvl w:val="0"/>
          <w:numId w:val="21"/>
        </w:numPr>
        <w:rPr>
          <w:rFonts w:hint="eastAsia" w:ascii="宋体" w:hAnsi="宋体"/>
          <w:szCs w:val="32"/>
        </w:rPr>
      </w:pPr>
      <w:bookmarkStart w:id="750" w:name="_Toc6990"/>
      <w:bookmarkStart w:id="751" w:name="_Toc621"/>
      <w:bookmarkStart w:id="752" w:name="_Toc4241"/>
      <w:bookmarkStart w:id="753" w:name="_Toc312133549"/>
      <w:r>
        <w:rPr>
          <w:rFonts w:hint="eastAsia" w:ascii="宋体" w:hAnsi="宋体"/>
          <w:szCs w:val="32"/>
        </w:rPr>
        <w:t>合同</w:t>
      </w:r>
      <w:bookmarkEnd w:id="750"/>
      <w:bookmarkEnd w:id="751"/>
      <w:bookmarkEnd w:id="752"/>
    </w:p>
    <w:bookmarkEnd w:id="753"/>
    <w:p w14:paraId="165C72F6">
      <w:pPr>
        <w:widowControl/>
        <w:spacing w:before="100" w:after="100" w:line="360" w:lineRule="auto"/>
        <w:ind w:left="76" w:right="76"/>
        <w:jc w:val="left"/>
        <w:rPr>
          <w:rFonts w:hint="eastAsia"/>
          <w:spacing w:val="3"/>
          <w:kern w:val="0"/>
          <w:szCs w:val="21"/>
        </w:rPr>
      </w:pPr>
      <w:bookmarkStart w:id="754" w:name="OLE_LINK19"/>
      <w:bookmarkStart w:id="755" w:name="_Toc31002"/>
      <w:r>
        <w:rPr>
          <w:rFonts w:hint="eastAsia"/>
          <w:kern w:val="0"/>
          <w:szCs w:val="21"/>
          <w:shd w:val="clear" w:color="auto" w:fill="FFFFFF"/>
        </w:rPr>
        <w:t>甲方：河南省地震局</w:t>
      </w:r>
    </w:p>
    <w:p w14:paraId="73B3016F">
      <w:pPr>
        <w:widowControl/>
        <w:spacing w:before="100" w:after="100" w:line="360" w:lineRule="auto"/>
        <w:ind w:left="76" w:right="76"/>
        <w:jc w:val="left"/>
        <w:rPr>
          <w:rFonts w:hint="eastAsia"/>
          <w:spacing w:val="-2"/>
          <w:kern w:val="0"/>
          <w:szCs w:val="21"/>
          <w:shd w:val="clear" w:color="auto" w:fill="FFFFFF"/>
        </w:rPr>
      </w:pPr>
      <w:r>
        <w:rPr>
          <w:rFonts w:hint="eastAsia"/>
          <w:kern w:val="0"/>
          <w:szCs w:val="21"/>
          <w:shd w:val="clear" w:color="auto" w:fill="FFFFFF"/>
        </w:rPr>
        <w:t>电话：</w:t>
      </w:r>
      <w:r>
        <w:rPr>
          <w:rFonts w:hint="eastAsia"/>
          <w:spacing w:val="-2"/>
          <w:kern w:val="0"/>
          <w:szCs w:val="21"/>
          <w:shd w:val="clear" w:color="auto" w:fill="FFFFFF"/>
        </w:rPr>
        <w:t xml:space="preserve">                   </w:t>
      </w:r>
    </w:p>
    <w:p w14:paraId="354AF6C3">
      <w:pPr>
        <w:widowControl/>
        <w:spacing w:before="100" w:after="100" w:line="360" w:lineRule="auto"/>
        <w:ind w:left="76" w:right="76"/>
        <w:jc w:val="left"/>
        <w:rPr>
          <w:rFonts w:hint="eastAsia"/>
          <w:kern w:val="0"/>
          <w:szCs w:val="21"/>
        </w:rPr>
      </w:pPr>
      <w:r>
        <w:rPr>
          <w:rFonts w:hint="eastAsia"/>
          <w:kern w:val="0"/>
          <w:szCs w:val="21"/>
          <w:shd w:val="clear" w:color="auto" w:fill="FFFFFF"/>
        </w:rPr>
        <w:t>地址：</w:t>
      </w:r>
    </w:p>
    <w:p w14:paraId="17E95F00">
      <w:pPr>
        <w:widowControl/>
        <w:spacing w:before="100" w:after="100" w:line="360" w:lineRule="auto"/>
        <w:ind w:left="76" w:right="76"/>
        <w:jc w:val="left"/>
        <w:rPr>
          <w:rFonts w:hint="eastAsia"/>
          <w:spacing w:val="2"/>
          <w:kern w:val="0"/>
          <w:szCs w:val="21"/>
        </w:rPr>
      </w:pPr>
      <w:r>
        <w:rPr>
          <w:rFonts w:hint="eastAsia"/>
          <w:kern w:val="0"/>
          <w:szCs w:val="21"/>
          <w:shd w:val="clear" w:color="auto" w:fill="FFFFFF"/>
        </w:rPr>
        <w:t>乙方：</w:t>
      </w:r>
    </w:p>
    <w:p w14:paraId="6EEE3367">
      <w:pPr>
        <w:widowControl/>
        <w:spacing w:before="100" w:after="100" w:line="360" w:lineRule="auto"/>
        <w:ind w:left="76" w:right="76"/>
        <w:jc w:val="left"/>
        <w:rPr>
          <w:rFonts w:hint="eastAsia"/>
          <w:spacing w:val="-5"/>
          <w:kern w:val="0"/>
          <w:szCs w:val="21"/>
          <w:shd w:val="clear" w:color="auto" w:fill="FFFFFF"/>
        </w:rPr>
      </w:pPr>
      <w:r>
        <w:rPr>
          <w:rFonts w:hint="eastAsia"/>
          <w:kern w:val="0"/>
          <w:szCs w:val="21"/>
          <w:shd w:val="clear" w:color="auto" w:fill="FFFFFF"/>
        </w:rPr>
        <w:t>电话：</w:t>
      </w:r>
      <w:r>
        <w:rPr>
          <w:rFonts w:hint="eastAsia"/>
          <w:spacing w:val="-5"/>
          <w:kern w:val="0"/>
          <w:szCs w:val="21"/>
          <w:shd w:val="clear" w:color="auto" w:fill="FFFFFF"/>
        </w:rPr>
        <w:t xml:space="preserve">                    </w:t>
      </w:r>
    </w:p>
    <w:p w14:paraId="4336DD4B">
      <w:pPr>
        <w:widowControl/>
        <w:spacing w:before="100" w:after="100" w:line="360" w:lineRule="auto"/>
        <w:ind w:left="76" w:right="76"/>
        <w:jc w:val="left"/>
        <w:rPr>
          <w:rFonts w:hint="eastAsia"/>
          <w:kern w:val="0"/>
          <w:szCs w:val="21"/>
          <w:shd w:val="clear" w:color="auto" w:fill="FFFFFF"/>
        </w:rPr>
      </w:pPr>
      <w:r>
        <w:rPr>
          <w:rFonts w:hint="eastAsia"/>
          <w:kern w:val="0"/>
          <w:szCs w:val="21"/>
          <w:shd w:val="clear" w:color="auto" w:fill="FFFFFF"/>
        </w:rPr>
        <w:t>地址：</w:t>
      </w:r>
    </w:p>
    <w:p w14:paraId="2AD46F39">
      <w:pPr>
        <w:widowControl/>
        <w:spacing w:before="100" w:after="100" w:line="360" w:lineRule="auto"/>
        <w:ind w:left="76" w:right="76"/>
        <w:jc w:val="left"/>
        <w:rPr>
          <w:rFonts w:hint="eastAsia"/>
          <w:spacing w:val="-13"/>
          <w:kern w:val="0"/>
          <w:szCs w:val="21"/>
        </w:rPr>
      </w:pPr>
      <w:r>
        <w:rPr>
          <w:rFonts w:hint="eastAsia"/>
          <w:spacing w:val="-7"/>
          <w:kern w:val="0"/>
          <w:szCs w:val="21"/>
          <w:shd w:val="clear" w:color="auto" w:fill="FFFFFF"/>
        </w:rPr>
        <w:t>项目名称：</w:t>
      </w:r>
      <w:r>
        <w:rPr>
          <w:rFonts w:hint="eastAsia"/>
          <w:spacing w:val="-7"/>
          <w:kern w:val="0"/>
          <w:szCs w:val="21"/>
          <w:u w:val="single"/>
          <w:shd w:val="clear" w:color="auto" w:fill="FFFFFF"/>
        </w:rPr>
        <w:t xml:space="preserve"> </w:t>
      </w:r>
      <w:r>
        <w:rPr>
          <w:rFonts w:hint="eastAsia"/>
          <w:spacing w:val="-7"/>
          <w:kern w:val="0"/>
          <w:szCs w:val="21"/>
          <w:u w:val="single"/>
          <w:shd w:val="clear" w:color="auto" w:fill="FFFFFF"/>
          <w:lang w:eastAsia="zh-CN"/>
        </w:rPr>
        <w:t>河南省地震局黄河流域（河南段）地震灾害风险防治工程——重大工程健康监测和诊断软硬件平台建设与集成项目采购项目</w:t>
      </w:r>
      <w:r>
        <w:rPr>
          <w:rFonts w:hint="eastAsia"/>
          <w:spacing w:val="-5"/>
          <w:kern w:val="0"/>
          <w:szCs w:val="21"/>
          <w:u w:val="single"/>
          <w:shd w:val="clear" w:color="auto" w:fill="FFFFFF"/>
        </w:rPr>
        <w:t xml:space="preserve"> </w:t>
      </w:r>
      <w:r>
        <w:rPr>
          <w:rFonts w:hint="eastAsia"/>
          <w:spacing w:val="-7"/>
          <w:kern w:val="0"/>
          <w:szCs w:val="21"/>
          <w:u w:val="single"/>
          <w:shd w:val="clear" w:color="auto" w:fill="FFFFFF"/>
        </w:rPr>
        <w:t xml:space="preserve"> </w:t>
      </w:r>
      <w:r>
        <w:rPr>
          <w:rFonts w:hint="eastAsia"/>
          <w:spacing w:val="-7"/>
          <w:kern w:val="0"/>
          <w:szCs w:val="21"/>
          <w:shd w:val="clear" w:color="auto" w:fill="FFFFFF"/>
        </w:rPr>
        <w:t>采购编号：豫财招标采购-2025-1026</w:t>
      </w:r>
      <w:r>
        <w:rPr>
          <w:rFonts w:hint="eastAsia"/>
          <w:spacing w:val="-13"/>
          <w:kern w:val="0"/>
          <w:szCs w:val="21"/>
          <w:shd w:val="clear" w:color="auto" w:fill="FFFFFF"/>
        </w:rPr>
        <w:t xml:space="preserve">   </w:t>
      </w:r>
    </w:p>
    <w:p w14:paraId="32BBA38B">
      <w:pPr>
        <w:widowControl/>
        <w:spacing w:before="100" w:after="100" w:line="360" w:lineRule="auto"/>
        <w:ind w:right="76" w:firstLine="528" w:firstLineChars="200"/>
        <w:jc w:val="left"/>
        <w:rPr>
          <w:rFonts w:hint="eastAsia"/>
          <w:kern w:val="0"/>
          <w:szCs w:val="21"/>
        </w:rPr>
      </w:pPr>
      <w:r>
        <w:rPr>
          <w:rFonts w:hint="eastAsia"/>
          <w:spacing w:val="27"/>
          <w:kern w:val="0"/>
          <w:szCs w:val="21"/>
          <w:shd w:val="clear" w:color="auto" w:fill="FFFFFF"/>
        </w:rPr>
        <w:t>根据</w:t>
      </w:r>
      <w:r>
        <w:rPr>
          <w:rFonts w:hint="eastAsia"/>
          <w:spacing w:val="27"/>
          <w:kern w:val="0"/>
          <w:szCs w:val="21"/>
          <w:u w:val="single"/>
          <w:shd w:val="clear" w:color="auto" w:fill="FFFFFF"/>
          <w:lang w:eastAsia="zh-CN"/>
        </w:rPr>
        <w:t>河南省地震局黄河流域（河南段）地震灾害风险防治工程——重大工程健康监测和诊断软硬件平台建设与集成项目采购项目</w:t>
      </w:r>
      <w:r>
        <w:rPr>
          <w:rFonts w:hint="eastAsia"/>
          <w:spacing w:val="18"/>
          <w:kern w:val="0"/>
          <w:szCs w:val="21"/>
          <w:shd w:val="clear" w:color="auto" w:fill="FFFFFF"/>
        </w:rPr>
        <w:t>的采购结果，按照《中华人民共和国政府采</w:t>
      </w:r>
      <w:r>
        <w:rPr>
          <w:rFonts w:hint="eastAsia"/>
          <w:spacing w:val="25"/>
          <w:kern w:val="0"/>
          <w:szCs w:val="21"/>
          <w:shd w:val="clear" w:color="auto" w:fill="FFFFFF"/>
        </w:rPr>
        <w:t>购法》</w:t>
      </w:r>
      <w:r>
        <w:rPr>
          <w:rFonts w:hint="eastAsia"/>
          <w:kern w:val="0"/>
          <w:szCs w:val="21"/>
          <w:shd w:val="clear" w:color="auto" w:fill="FFFFFF"/>
        </w:rPr>
        <w:t>、</w:t>
      </w:r>
      <w:r>
        <w:rPr>
          <w:rFonts w:hint="eastAsia"/>
          <w:spacing w:val="13"/>
          <w:kern w:val="0"/>
          <w:szCs w:val="21"/>
          <w:shd w:val="clear" w:color="auto" w:fill="FFFFFF"/>
        </w:rPr>
        <w:t>《中华人民共和国民法典》</w:t>
      </w:r>
      <w:r>
        <w:rPr>
          <w:rFonts w:hint="eastAsia"/>
          <w:spacing w:val="15"/>
          <w:kern w:val="0"/>
          <w:szCs w:val="21"/>
          <w:shd w:val="clear" w:color="auto" w:fill="FFFFFF"/>
        </w:rPr>
        <w:t>的规定，经双方协商，本着平等互利和</w:t>
      </w:r>
      <w:r>
        <w:rPr>
          <w:rFonts w:hint="eastAsia"/>
          <w:spacing w:val="-8"/>
          <w:kern w:val="0"/>
          <w:szCs w:val="21"/>
          <w:shd w:val="clear" w:color="auto" w:fill="FFFFFF"/>
        </w:rPr>
        <w:t>诚实信用的原则，一致同意签订本合同如下。</w:t>
      </w:r>
    </w:p>
    <w:p w14:paraId="637DCA0F">
      <w:pPr>
        <w:widowControl/>
        <w:spacing w:before="100" w:after="100" w:line="360" w:lineRule="auto"/>
        <w:ind w:left="76" w:right="76"/>
        <w:jc w:val="left"/>
        <w:outlineLvl w:val="1"/>
        <w:rPr>
          <w:rFonts w:hint="eastAsia"/>
          <w:kern w:val="0"/>
          <w:szCs w:val="21"/>
        </w:rPr>
      </w:pPr>
      <w:r>
        <w:rPr>
          <w:rFonts w:hint="eastAsia"/>
          <w:spacing w:val="5"/>
          <w:kern w:val="0"/>
          <w:szCs w:val="21"/>
          <w:shd w:val="clear" w:color="auto" w:fill="FFFFFF"/>
        </w:rPr>
        <w:t>一、合同金额</w:t>
      </w:r>
    </w:p>
    <w:p w14:paraId="6BBD94FC">
      <w:pPr>
        <w:widowControl/>
        <w:spacing w:before="100" w:after="100" w:line="360" w:lineRule="auto"/>
        <w:ind w:left="74" w:right="74" w:firstLine="596" w:firstLineChars="200"/>
        <w:jc w:val="left"/>
        <w:rPr>
          <w:rFonts w:hint="eastAsia"/>
          <w:kern w:val="0"/>
          <w:szCs w:val="21"/>
        </w:rPr>
      </w:pPr>
      <w:r>
        <w:rPr>
          <w:rFonts w:hint="eastAsia"/>
          <w:spacing w:val="44"/>
          <w:kern w:val="0"/>
          <w:szCs w:val="21"/>
          <w:shd w:val="clear" w:color="auto" w:fill="FFFFFF"/>
        </w:rPr>
        <w:t>合同含税金额为（大写）</w:t>
      </w:r>
      <w:r>
        <w:rPr>
          <w:rFonts w:hint="eastAsia"/>
          <w:kern w:val="0"/>
          <w:szCs w:val="21"/>
          <w:shd w:val="clear" w:color="auto" w:fill="FFFFFF"/>
        </w:rPr>
        <w:t>：</w:t>
      </w:r>
      <w:r>
        <w:rPr>
          <w:rFonts w:hint="eastAsia"/>
          <w:spacing w:val="-4"/>
          <w:kern w:val="0"/>
          <w:szCs w:val="21"/>
          <w:shd w:val="clear" w:color="auto" w:fill="FFFFFF"/>
        </w:rPr>
        <w:t>_________________</w:t>
      </w:r>
      <w:r>
        <w:rPr>
          <w:rFonts w:hint="eastAsia"/>
          <w:spacing w:val="54"/>
          <w:kern w:val="0"/>
          <w:szCs w:val="21"/>
          <w:shd w:val="clear" w:color="auto" w:fill="FFFFFF"/>
        </w:rPr>
        <w:t>元（￥</w:t>
      </w:r>
      <w:r>
        <w:rPr>
          <w:rFonts w:hint="eastAsia"/>
          <w:spacing w:val="-6"/>
          <w:kern w:val="0"/>
          <w:szCs w:val="21"/>
          <w:shd w:val="clear" w:color="auto" w:fill="FFFFFF"/>
        </w:rPr>
        <w:t>_______________</w:t>
      </w:r>
      <w:r>
        <w:rPr>
          <w:rFonts w:hint="eastAsia"/>
          <w:spacing w:val="54"/>
          <w:kern w:val="0"/>
          <w:szCs w:val="21"/>
          <w:shd w:val="clear" w:color="auto" w:fill="FFFFFF"/>
        </w:rPr>
        <w:t>元</w:t>
      </w:r>
      <w:r>
        <w:rPr>
          <w:rFonts w:hint="eastAsia"/>
          <w:kern w:val="0"/>
          <w:szCs w:val="21"/>
          <w:shd w:val="clear" w:color="auto" w:fill="FFFFFF"/>
        </w:rPr>
        <w:t>人民币</w:t>
      </w:r>
      <w:r>
        <w:rPr>
          <w:rFonts w:hint="eastAsia"/>
          <w:spacing w:val="54"/>
          <w:kern w:val="0"/>
          <w:szCs w:val="21"/>
          <w:shd w:val="clear" w:color="auto" w:fill="FFFFFF"/>
        </w:rPr>
        <w:t>）</w:t>
      </w:r>
      <w:r>
        <w:rPr>
          <w:rFonts w:hint="eastAsia"/>
          <w:kern w:val="0"/>
          <w:szCs w:val="21"/>
          <w:shd w:val="clear" w:color="auto" w:fill="FFFFFF"/>
        </w:rPr>
        <w:t>。</w:t>
      </w:r>
    </w:p>
    <w:p w14:paraId="63098B32">
      <w:pPr>
        <w:widowControl/>
        <w:spacing w:before="100" w:after="100" w:line="360" w:lineRule="auto"/>
        <w:ind w:left="76" w:right="76"/>
        <w:jc w:val="left"/>
        <w:outlineLvl w:val="1"/>
        <w:rPr>
          <w:rFonts w:hint="eastAsia"/>
          <w:kern w:val="0"/>
          <w:szCs w:val="21"/>
        </w:rPr>
      </w:pPr>
      <w:r>
        <w:rPr>
          <w:rFonts w:hint="eastAsia"/>
          <w:kern w:val="0"/>
          <w:szCs w:val="21"/>
          <w:shd w:val="clear" w:color="auto" w:fill="FFFFFF"/>
        </w:rPr>
        <w:t>二、</w:t>
      </w:r>
      <w:r>
        <w:rPr>
          <w:rFonts w:hint="eastAsia"/>
          <w:spacing w:val="8"/>
          <w:kern w:val="0"/>
          <w:szCs w:val="21"/>
          <w:shd w:val="clear" w:color="auto" w:fill="FFFFFF"/>
        </w:rPr>
        <w:t>服务范围</w:t>
      </w:r>
    </w:p>
    <w:p w14:paraId="002DDC8D">
      <w:pPr>
        <w:widowControl/>
        <w:spacing w:before="100" w:after="100" w:line="360" w:lineRule="auto"/>
        <w:ind w:left="74" w:right="74" w:firstLine="384" w:firstLineChars="200"/>
        <w:jc w:val="left"/>
        <w:rPr>
          <w:rFonts w:hint="eastAsia"/>
          <w:kern w:val="0"/>
          <w:szCs w:val="21"/>
        </w:rPr>
      </w:pPr>
      <w:r>
        <w:rPr>
          <w:rFonts w:hint="eastAsia"/>
          <w:spacing w:val="-9"/>
          <w:kern w:val="0"/>
          <w:szCs w:val="21"/>
          <w:shd w:val="clear" w:color="auto" w:fill="FFFFFF"/>
        </w:rPr>
        <w:t>甲方聘请乙方提供以下服务：</w:t>
      </w:r>
    </w:p>
    <w:p w14:paraId="7A72C976">
      <w:pPr>
        <w:widowControl/>
        <w:spacing w:before="100" w:after="100" w:line="360" w:lineRule="auto"/>
        <w:ind w:left="74" w:right="74" w:firstLine="420" w:firstLineChars="200"/>
        <w:jc w:val="left"/>
        <w:rPr>
          <w:rFonts w:hint="eastAsia"/>
          <w:spacing w:val="-8"/>
          <w:kern w:val="0"/>
          <w:szCs w:val="21"/>
          <w:u w:val="single"/>
          <w:shd w:val="clear" w:color="auto" w:fill="FFFFFF"/>
        </w:rPr>
      </w:pPr>
      <w:r>
        <w:rPr>
          <w:rFonts w:hint="eastAsia"/>
          <w:szCs w:val="21"/>
          <w:shd w:val="clear" w:color="auto" w:fill="FFFFFF"/>
        </w:rPr>
        <w:t>本项目为</w:t>
      </w:r>
      <w:r>
        <w:rPr>
          <w:rFonts w:hint="eastAsia"/>
          <w:szCs w:val="21"/>
          <w:shd w:val="clear" w:color="auto" w:fill="FFFFFF"/>
          <w:lang w:eastAsia="zh-CN"/>
        </w:rPr>
        <w:t>河南省地震局黄河流域（河南段）地震灾害风险防治工程——重大工程健康监测和诊断软硬件平台建设与集成项目采购项目</w:t>
      </w:r>
      <w:r>
        <w:rPr>
          <w:rFonts w:hint="eastAsia"/>
          <w:szCs w:val="21"/>
          <w:shd w:val="clear" w:color="auto" w:fill="FFFFFF"/>
        </w:rPr>
        <w:t>，具体内容包括</w:t>
      </w:r>
      <w:r>
        <w:rPr>
          <w:rFonts w:hint="eastAsia"/>
          <w:szCs w:val="21"/>
          <w:shd w:val="clear" w:color="auto" w:fill="FFFFFF"/>
          <w:lang w:val="en-US" w:eastAsia="zh-CN"/>
        </w:rPr>
        <w:t>2个任务</w:t>
      </w:r>
      <w:r>
        <w:rPr>
          <w:rFonts w:hint="eastAsia"/>
          <w:szCs w:val="21"/>
          <w:shd w:val="clear" w:color="auto" w:fill="FFFFFF"/>
        </w:rPr>
        <w:t>，</w:t>
      </w:r>
      <w:r>
        <w:rPr>
          <w:rFonts w:hint="eastAsia"/>
          <w:szCs w:val="21"/>
          <w:shd w:val="clear" w:color="auto" w:fill="FFFFFF"/>
          <w:lang w:val="en-US" w:eastAsia="zh-CN"/>
        </w:rPr>
        <w:t>任务1</w:t>
      </w:r>
      <w:r>
        <w:rPr>
          <w:rFonts w:hint="eastAsia"/>
          <w:szCs w:val="21"/>
          <w:shd w:val="clear" w:color="auto" w:fill="FFFFFF"/>
        </w:rPr>
        <w:t>为重大工程地震安全在线监测与健康诊断平台建设，建设内容围绕重大工程地震安全在线监测与健康诊断信息平台、平台UI界面、系统数据库及监测数据分析等功能展开；</w:t>
      </w:r>
      <w:r>
        <w:rPr>
          <w:rFonts w:hint="eastAsia"/>
          <w:szCs w:val="21"/>
          <w:shd w:val="clear" w:color="auto" w:fill="FFFFFF"/>
          <w:lang w:val="en-US" w:eastAsia="zh-CN"/>
        </w:rPr>
        <w:t>任务2</w:t>
      </w:r>
      <w:r>
        <w:rPr>
          <w:rFonts w:hint="eastAsia"/>
          <w:szCs w:val="21"/>
          <w:shd w:val="clear" w:color="auto" w:fill="FFFFFF"/>
        </w:rPr>
        <w:t>为应用示范工程建设，具体建设内容包括小浪底水库大坝强震监测系统和濮阳白堽黄河公路大桥监测系统。</w:t>
      </w:r>
    </w:p>
    <w:p w14:paraId="5CED7416">
      <w:pPr>
        <w:widowControl/>
        <w:spacing w:before="100" w:after="100" w:line="360" w:lineRule="auto"/>
        <w:ind w:left="74" w:right="74" w:firstLine="388" w:firstLineChars="200"/>
        <w:jc w:val="left"/>
        <w:rPr>
          <w:rFonts w:hint="eastAsia"/>
          <w:spacing w:val="-8"/>
          <w:kern w:val="0"/>
          <w:szCs w:val="21"/>
          <w:u w:val="single"/>
          <w:shd w:val="clear" w:color="auto" w:fill="FFFFFF"/>
        </w:rPr>
      </w:pPr>
      <w:r>
        <w:rPr>
          <w:rFonts w:hint="eastAsia"/>
          <w:spacing w:val="-8"/>
          <w:kern w:val="0"/>
          <w:szCs w:val="21"/>
          <w:u w:val="single"/>
          <w:shd w:val="clear" w:color="auto" w:fill="FFFFFF"/>
        </w:rPr>
        <w:t>具体服务要求详见招标文件</w:t>
      </w:r>
      <w:r>
        <w:rPr>
          <w:rFonts w:hint="eastAsia"/>
          <w:spacing w:val="-8"/>
          <w:kern w:val="0"/>
          <w:szCs w:val="21"/>
          <w:u w:val="single"/>
          <w:shd w:val="clear" w:color="auto" w:fill="FFFFFF"/>
          <w:lang w:val="en-US" w:eastAsia="zh-CN"/>
        </w:rPr>
        <w:t>采购</w:t>
      </w:r>
      <w:r>
        <w:rPr>
          <w:rFonts w:hint="eastAsia"/>
          <w:spacing w:val="-8"/>
          <w:kern w:val="0"/>
          <w:szCs w:val="21"/>
          <w:u w:val="single"/>
          <w:shd w:val="clear" w:color="auto" w:fill="FFFFFF"/>
        </w:rPr>
        <w:t>需求（正式合同附招标文件采购需求）。</w:t>
      </w:r>
    </w:p>
    <w:p w14:paraId="1C8B45DD">
      <w:pPr>
        <w:widowControl/>
        <w:spacing w:before="100" w:after="100" w:line="360" w:lineRule="auto"/>
        <w:ind w:left="76" w:right="76"/>
        <w:jc w:val="left"/>
        <w:outlineLvl w:val="1"/>
        <w:rPr>
          <w:rFonts w:hint="eastAsia"/>
          <w:kern w:val="0"/>
          <w:szCs w:val="21"/>
        </w:rPr>
      </w:pPr>
      <w:r>
        <w:rPr>
          <w:rFonts w:hint="eastAsia"/>
          <w:kern w:val="0"/>
          <w:szCs w:val="21"/>
          <w:shd w:val="clear" w:color="auto" w:fill="FFFFFF"/>
        </w:rPr>
        <w:t>三、</w:t>
      </w:r>
      <w:r>
        <w:rPr>
          <w:rFonts w:hint="eastAsia"/>
          <w:spacing w:val="3"/>
          <w:kern w:val="0"/>
          <w:szCs w:val="21"/>
          <w:shd w:val="clear" w:color="auto" w:fill="FFFFFF"/>
        </w:rPr>
        <w:t>甲方乙方的权利和义务</w:t>
      </w:r>
    </w:p>
    <w:p w14:paraId="2603E8E8">
      <w:pPr>
        <w:widowControl/>
        <w:spacing w:before="100" w:after="100" w:line="360" w:lineRule="auto"/>
        <w:ind w:left="76" w:right="76"/>
        <w:jc w:val="left"/>
        <w:rPr>
          <w:rFonts w:hint="eastAsia"/>
          <w:spacing w:val="-8"/>
          <w:kern w:val="0"/>
          <w:szCs w:val="21"/>
          <w:shd w:val="clear" w:color="auto" w:fill="FFFFFF"/>
        </w:rPr>
      </w:pPr>
      <w:r>
        <w:rPr>
          <w:rFonts w:hint="eastAsia"/>
          <w:spacing w:val="-14"/>
          <w:kern w:val="0"/>
          <w:szCs w:val="21"/>
          <w:shd w:val="clear" w:color="auto" w:fill="FFFFFF"/>
        </w:rPr>
        <w:t>（一）</w:t>
      </w:r>
      <w:r>
        <w:rPr>
          <w:rFonts w:hint="eastAsia"/>
          <w:spacing w:val="-8"/>
          <w:kern w:val="0"/>
          <w:szCs w:val="21"/>
          <w:shd w:val="clear" w:color="auto" w:fill="FFFFFF"/>
        </w:rPr>
        <w:t>甲方的权利和义务</w:t>
      </w:r>
    </w:p>
    <w:p w14:paraId="7F0AD9E7">
      <w:pPr>
        <w:spacing w:line="360" w:lineRule="auto"/>
        <w:ind w:firstLine="420" w:firstLineChars="200"/>
        <w:rPr>
          <w:rFonts w:hint="eastAsia"/>
          <w:szCs w:val="21"/>
        </w:rPr>
      </w:pPr>
      <w:r>
        <w:rPr>
          <w:rFonts w:hint="eastAsia"/>
          <w:szCs w:val="21"/>
        </w:rPr>
        <w:t>（1）审查并批准乙方编制的方案，开具实施本项目监测工作所需的证明文件，向乙方提供已掌握的基础资料，以便乙方开展工作；</w:t>
      </w:r>
    </w:p>
    <w:p w14:paraId="5E567A03">
      <w:pPr>
        <w:spacing w:line="360" w:lineRule="auto"/>
        <w:ind w:firstLine="420" w:firstLineChars="200"/>
        <w:rPr>
          <w:rFonts w:hint="eastAsia"/>
          <w:szCs w:val="21"/>
        </w:rPr>
      </w:pPr>
      <w:r>
        <w:rPr>
          <w:rFonts w:hint="eastAsia"/>
          <w:szCs w:val="21"/>
        </w:rPr>
        <w:t>（2）有权对乙方投入的人员、设备、仪器进行监督检查。如乙方投入的人员、设备和仪器等与投标文件不一致，甲方有权要求乙方停工整改，乙方须在7日内整改到位，如乙方未在规定的时限内完成整改，每超出一天，罚款5000元，直至整改完成。为了保障施工进度，乙方可以提供超出投标承诺的人员和设备，所投入的人员必须具备相应的执业能力，所投入设备必须能够满足招标文件第六章采购需求的相关要求。对不符合项目技术要求的工作，有权要求乙方必须无条件进行返工；</w:t>
      </w:r>
    </w:p>
    <w:p w14:paraId="3693B21D">
      <w:pPr>
        <w:spacing w:line="360" w:lineRule="auto"/>
        <w:ind w:firstLine="420" w:firstLineChars="200"/>
        <w:rPr>
          <w:rFonts w:hint="eastAsia"/>
          <w:szCs w:val="21"/>
        </w:rPr>
      </w:pPr>
      <w:r>
        <w:rPr>
          <w:rFonts w:hint="eastAsia"/>
          <w:szCs w:val="21"/>
        </w:rPr>
        <w:t>（3）及时组织专家对乙方提交的阶段成果及最终成果进行验收；</w:t>
      </w:r>
    </w:p>
    <w:p w14:paraId="5B24C106">
      <w:pPr>
        <w:spacing w:line="360" w:lineRule="auto"/>
        <w:ind w:firstLine="420" w:firstLineChars="200"/>
        <w:rPr>
          <w:rFonts w:hint="eastAsia"/>
          <w:szCs w:val="21"/>
        </w:rPr>
      </w:pPr>
      <w:r>
        <w:rPr>
          <w:rFonts w:hint="eastAsia"/>
          <w:szCs w:val="21"/>
        </w:rPr>
        <w:t>（4）按合同约定的方式和时间向乙方支付合同价款。</w:t>
      </w:r>
    </w:p>
    <w:p w14:paraId="2C0DEFC1">
      <w:pPr>
        <w:widowControl/>
        <w:spacing w:before="100" w:after="100" w:line="360" w:lineRule="auto"/>
        <w:ind w:left="76" w:right="76"/>
        <w:jc w:val="left"/>
        <w:rPr>
          <w:rFonts w:hint="eastAsia"/>
          <w:spacing w:val="-8"/>
          <w:kern w:val="0"/>
          <w:szCs w:val="21"/>
          <w:shd w:val="clear" w:color="auto" w:fill="FFFFFF"/>
        </w:rPr>
      </w:pPr>
      <w:r>
        <w:rPr>
          <w:rFonts w:hint="eastAsia"/>
          <w:spacing w:val="-14"/>
          <w:kern w:val="0"/>
          <w:szCs w:val="21"/>
          <w:shd w:val="clear" w:color="auto" w:fill="FFFFFF"/>
        </w:rPr>
        <w:t>（二）</w:t>
      </w:r>
      <w:r>
        <w:rPr>
          <w:rFonts w:hint="eastAsia"/>
          <w:spacing w:val="-8"/>
          <w:kern w:val="0"/>
          <w:szCs w:val="21"/>
          <w:shd w:val="clear" w:color="auto" w:fill="FFFFFF"/>
        </w:rPr>
        <w:t>乙方的权利和义务</w:t>
      </w:r>
    </w:p>
    <w:p w14:paraId="2DB37A29">
      <w:pPr>
        <w:spacing w:line="360" w:lineRule="auto"/>
        <w:ind w:firstLine="420" w:firstLineChars="200"/>
        <w:jc w:val="left"/>
        <w:rPr>
          <w:rFonts w:hint="eastAsia"/>
          <w:szCs w:val="21"/>
        </w:rPr>
      </w:pPr>
      <w:r>
        <w:rPr>
          <w:rFonts w:hint="eastAsia"/>
          <w:szCs w:val="21"/>
        </w:rPr>
        <w:t>（1）按投标书承诺的项目技术人员和装备标准组织施工队伍、组建项目部进行施工，并自主组织、协调和管理全部工作；</w:t>
      </w:r>
    </w:p>
    <w:p w14:paraId="59622F77">
      <w:pPr>
        <w:pStyle w:val="20"/>
        <w:spacing w:before="0" w:beforeAutospacing="0" w:after="0" w:afterAutospacing="0" w:line="360" w:lineRule="auto"/>
        <w:ind w:firstLine="420" w:firstLineChars="200"/>
        <w:rPr>
          <w:rFonts w:hint="eastAsia" w:cs="宋体"/>
          <w:sz w:val="21"/>
          <w:szCs w:val="21"/>
          <w:highlight w:val="none"/>
        </w:rPr>
      </w:pPr>
      <w:r>
        <w:rPr>
          <w:rFonts w:hint="eastAsia" w:cs="宋体"/>
          <w:sz w:val="21"/>
          <w:szCs w:val="21"/>
          <w:highlight w:val="none"/>
        </w:rPr>
        <w:t>（2）根据本项目技术要求及国家现行的相关标准、规范、规程，按时提交成果报甲方评审；</w:t>
      </w:r>
    </w:p>
    <w:p w14:paraId="26C3C764">
      <w:pPr>
        <w:spacing w:line="360" w:lineRule="auto"/>
        <w:ind w:firstLine="420" w:firstLineChars="200"/>
        <w:jc w:val="left"/>
        <w:rPr>
          <w:rFonts w:hint="eastAsia"/>
          <w:szCs w:val="21"/>
        </w:rPr>
      </w:pPr>
      <w:r>
        <w:rPr>
          <w:rFonts w:hint="eastAsia"/>
          <w:szCs w:val="21"/>
        </w:rPr>
        <w:t>（3）乙方应按甲方要求按时报告项目进展情况，提供相关资料，接受甲方对人员、设备、仪器的监督和检查；</w:t>
      </w:r>
    </w:p>
    <w:p w14:paraId="3FC51507">
      <w:pPr>
        <w:pStyle w:val="20"/>
        <w:spacing w:before="0" w:beforeAutospacing="0" w:after="0" w:afterAutospacing="0" w:line="360" w:lineRule="auto"/>
        <w:ind w:firstLine="420" w:firstLineChars="200"/>
        <w:rPr>
          <w:rFonts w:hint="eastAsia" w:cs="宋体"/>
          <w:sz w:val="21"/>
          <w:szCs w:val="21"/>
        </w:rPr>
      </w:pPr>
      <w:r>
        <w:rPr>
          <w:rFonts w:hint="eastAsia" w:cs="宋体"/>
          <w:sz w:val="21"/>
          <w:szCs w:val="21"/>
        </w:rPr>
        <w:t>（4）按时提交成果报告及原始资料，按照甲方档案相关管理规定进行归档；</w:t>
      </w:r>
    </w:p>
    <w:p w14:paraId="06C4953F">
      <w:pPr>
        <w:pStyle w:val="20"/>
        <w:spacing w:before="0" w:beforeAutospacing="0" w:after="0" w:afterAutospacing="0" w:line="360" w:lineRule="auto"/>
        <w:ind w:firstLine="420" w:firstLineChars="200"/>
        <w:rPr>
          <w:rFonts w:hint="eastAsia" w:cs="宋体"/>
          <w:sz w:val="21"/>
          <w:szCs w:val="21"/>
        </w:rPr>
      </w:pPr>
      <w:r>
        <w:rPr>
          <w:rFonts w:hint="eastAsia" w:cs="宋体"/>
          <w:sz w:val="21"/>
          <w:szCs w:val="21"/>
        </w:rPr>
        <w:t>（5）负责施工用水、电、通讯、道路等设施日常维护，以确保</w:t>
      </w:r>
      <w:r>
        <w:rPr>
          <w:rFonts w:hint="eastAsia"/>
          <w:szCs w:val="21"/>
          <w:u w:val="single"/>
          <w:shd w:val="clear" w:color="auto" w:fill="FFFFFF"/>
        </w:rPr>
        <w:t>现场设备安装调试</w:t>
      </w:r>
      <w:r>
        <w:rPr>
          <w:rFonts w:hint="eastAsia" w:cs="宋体"/>
          <w:sz w:val="21"/>
          <w:szCs w:val="21"/>
        </w:rPr>
        <w:t>正常安全进行，费用自行承担；</w:t>
      </w:r>
    </w:p>
    <w:p w14:paraId="3E9E5459">
      <w:pPr>
        <w:spacing w:line="360" w:lineRule="auto"/>
        <w:ind w:firstLine="420" w:firstLineChars="200"/>
        <w:jc w:val="left"/>
        <w:rPr>
          <w:rFonts w:hint="eastAsia"/>
          <w:szCs w:val="21"/>
        </w:rPr>
      </w:pPr>
      <w:r>
        <w:rPr>
          <w:rFonts w:hint="eastAsia"/>
          <w:szCs w:val="21"/>
        </w:rPr>
        <w:t>（6）本项目实施过程中出现的一切人身、财产损失等事故的处理和由此产生的一切费用概由乙方承担；如因上述事故给甲方造成经济损失或对甲方产生不良影响的，乙方有义务赔偿甲方损失或消除不良影响，甲方有权直接在履约保证金中扣除所受的经济损失；</w:t>
      </w:r>
    </w:p>
    <w:p w14:paraId="5B16B897">
      <w:pPr>
        <w:pStyle w:val="20"/>
        <w:spacing w:before="0" w:beforeAutospacing="0" w:after="0" w:afterAutospacing="0" w:line="360" w:lineRule="auto"/>
        <w:ind w:firstLine="420" w:firstLineChars="200"/>
        <w:rPr>
          <w:rFonts w:hint="eastAsia" w:cs="宋体"/>
          <w:sz w:val="21"/>
          <w:szCs w:val="21"/>
        </w:rPr>
      </w:pPr>
      <w:r>
        <w:rPr>
          <w:rFonts w:hint="eastAsia" w:cs="宋体"/>
          <w:sz w:val="21"/>
          <w:szCs w:val="21"/>
        </w:rPr>
        <w:t>（7）对甲方所提供的全部资料安全负责，不得丢失和损坏。</w:t>
      </w:r>
    </w:p>
    <w:p w14:paraId="11B46607">
      <w:pPr>
        <w:widowControl/>
        <w:spacing w:before="100" w:after="100" w:line="360" w:lineRule="auto"/>
        <w:ind w:left="76" w:right="76"/>
        <w:jc w:val="left"/>
        <w:rPr>
          <w:rFonts w:hint="eastAsia"/>
          <w:spacing w:val="5"/>
          <w:kern w:val="0"/>
          <w:szCs w:val="21"/>
        </w:rPr>
      </w:pPr>
      <w:r>
        <w:rPr>
          <w:rFonts w:hint="eastAsia"/>
          <w:kern w:val="0"/>
          <w:szCs w:val="21"/>
          <w:shd w:val="clear" w:color="auto" w:fill="FFFFFF"/>
        </w:rPr>
        <w:t>四、</w:t>
      </w:r>
      <w:r>
        <w:rPr>
          <w:rFonts w:hint="eastAsia"/>
          <w:spacing w:val="5"/>
          <w:kern w:val="0"/>
          <w:szCs w:val="21"/>
          <w:shd w:val="clear" w:color="auto" w:fill="FFFFFF"/>
        </w:rPr>
        <w:t>质保期：</w:t>
      </w:r>
      <w:r>
        <w:rPr>
          <w:rFonts w:hint="eastAsia"/>
          <w:szCs w:val="21"/>
        </w:rPr>
        <w:t>自验收合格之日起</w:t>
      </w:r>
      <w:r>
        <w:rPr>
          <w:rFonts w:hint="eastAsia"/>
          <w:szCs w:val="21"/>
          <w:u w:val="single"/>
        </w:rPr>
        <w:t xml:space="preserve">    </w:t>
      </w:r>
      <w:r>
        <w:rPr>
          <w:rFonts w:hint="eastAsia"/>
          <w:szCs w:val="21"/>
        </w:rPr>
        <w:t>年，提供软硬件平台维护服务和运行技术支持。</w:t>
      </w:r>
    </w:p>
    <w:p w14:paraId="50BAE6F8">
      <w:pPr>
        <w:widowControl/>
        <w:spacing w:before="100" w:after="100" w:line="360" w:lineRule="auto"/>
        <w:ind w:left="76" w:right="76"/>
        <w:jc w:val="left"/>
        <w:outlineLvl w:val="1"/>
        <w:rPr>
          <w:rFonts w:hint="eastAsia"/>
          <w:kern w:val="0"/>
          <w:szCs w:val="21"/>
        </w:rPr>
      </w:pPr>
      <w:r>
        <w:rPr>
          <w:rFonts w:hint="eastAsia"/>
          <w:kern w:val="0"/>
          <w:szCs w:val="21"/>
          <w:shd w:val="clear" w:color="auto" w:fill="FFFFFF"/>
        </w:rPr>
        <w:t>五、付款方式</w:t>
      </w:r>
    </w:p>
    <w:p w14:paraId="2D3B9C6D">
      <w:pPr>
        <w:widowControl/>
        <w:spacing w:before="100" w:after="100" w:line="360" w:lineRule="auto"/>
        <w:ind w:left="74" w:right="74" w:firstLine="420" w:firstLineChars="200"/>
        <w:jc w:val="left"/>
        <w:rPr>
          <w:rFonts w:hint="eastAsia"/>
          <w:kern w:val="0"/>
          <w:szCs w:val="21"/>
          <w:u w:val="single"/>
          <w:shd w:val="clear" w:color="auto" w:fill="FFFFFF"/>
        </w:rPr>
      </w:pPr>
      <w:bookmarkStart w:id="756" w:name="OLE_LINK8"/>
      <w:r>
        <w:rPr>
          <w:rFonts w:hint="eastAsia"/>
          <w:kern w:val="0"/>
          <w:szCs w:val="21"/>
          <w:u w:val="single"/>
          <w:shd w:val="clear" w:color="auto" w:fill="FFFFFF"/>
        </w:rPr>
        <w:t>分阶段付款：合同签订后，乙方向甲方支付合同总额2%履约保证金，甲方组织专家对乙方施工方案进行论证，论证通过后，支付合同总价的30%；完成现场设备安装调试任务，经过甲方组织专家进行阶段性验收通过后，支付合同总价的60%；甲方组织项目合同验收通过后，支付合同总价的10%。</w:t>
      </w:r>
    </w:p>
    <w:p w14:paraId="62ECBD63">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甲方每次付款前，乙方都应提前一周向甲方出具相应数额的增值税专用/普通发票，否则甲方有权拒绝支付款项且无须承担违约责任。</w:t>
      </w:r>
      <w:bookmarkEnd w:id="756"/>
    </w:p>
    <w:p w14:paraId="2F2A7D38">
      <w:pPr>
        <w:widowControl/>
        <w:spacing w:before="100" w:after="100" w:line="360" w:lineRule="auto"/>
        <w:ind w:left="74" w:right="74" w:firstLine="420" w:firstLineChars="200"/>
        <w:jc w:val="center"/>
        <w:rPr>
          <w:rFonts w:hint="eastAsia"/>
          <w:kern w:val="0"/>
          <w:szCs w:val="21"/>
          <w:shd w:val="clear" w:color="auto" w:fill="FFFFFF"/>
        </w:rPr>
      </w:pPr>
      <w:r>
        <w:rPr>
          <w:rFonts w:hint="eastAsia"/>
          <w:kern w:val="0"/>
          <w:szCs w:val="21"/>
          <w:shd w:val="clear" w:color="auto" w:fill="FFFFFF"/>
        </w:rPr>
        <w:t>双方开票信息及收款账户信息</w:t>
      </w:r>
    </w:p>
    <w:tbl>
      <w:tblPr>
        <w:tblStyle w:val="23"/>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40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61" w:type="dxa"/>
          </w:tcPr>
          <w:p w14:paraId="0C12A9A9">
            <w:pPr>
              <w:spacing w:line="360" w:lineRule="auto"/>
              <w:rPr>
                <w:rFonts w:hint="eastAsia"/>
                <w:szCs w:val="21"/>
              </w:rPr>
            </w:pPr>
            <w:r>
              <w:rPr>
                <w:rFonts w:hint="eastAsia"/>
                <w:b/>
                <w:szCs w:val="21"/>
              </w:rPr>
              <w:t>甲方单位名称：</w:t>
            </w:r>
            <w:r>
              <w:rPr>
                <w:rFonts w:hint="eastAsia"/>
                <w:szCs w:val="21"/>
              </w:rPr>
              <w:t>河南省地震局</w:t>
            </w:r>
          </w:p>
        </w:tc>
        <w:tc>
          <w:tcPr>
            <w:tcW w:w="4261" w:type="dxa"/>
          </w:tcPr>
          <w:p w14:paraId="4303637A">
            <w:pPr>
              <w:spacing w:line="360" w:lineRule="auto"/>
              <w:rPr>
                <w:rFonts w:hint="eastAsia"/>
                <w:szCs w:val="21"/>
              </w:rPr>
            </w:pPr>
            <w:r>
              <w:rPr>
                <w:rFonts w:hint="eastAsia"/>
                <w:b/>
                <w:szCs w:val="21"/>
              </w:rPr>
              <w:t>乙方单位名称：</w:t>
            </w:r>
          </w:p>
        </w:tc>
      </w:tr>
      <w:tr w14:paraId="3DC7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tcPr>
          <w:p w14:paraId="11BA8E36">
            <w:pPr>
              <w:spacing w:line="360" w:lineRule="auto"/>
              <w:jc w:val="left"/>
              <w:rPr>
                <w:rFonts w:hint="eastAsia"/>
                <w:b/>
                <w:szCs w:val="21"/>
              </w:rPr>
            </w:pPr>
            <w:r>
              <w:rPr>
                <w:rFonts w:hint="eastAsia"/>
                <w:b/>
                <w:szCs w:val="21"/>
              </w:rPr>
              <w:t>开户银行及帐号：</w:t>
            </w:r>
          </w:p>
          <w:p w14:paraId="3CEE7852">
            <w:pPr>
              <w:spacing w:line="360" w:lineRule="auto"/>
              <w:rPr>
                <w:rFonts w:hint="eastAsia"/>
                <w:szCs w:val="21"/>
              </w:rPr>
            </w:pPr>
            <w:r>
              <w:rPr>
                <w:rFonts w:hint="eastAsia"/>
                <w:szCs w:val="21"/>
              </w:rPr>
              <w:t>中国建设银行股份有限公司郑州自贸区分行营业部</w:t>
            </w:r>
          </w:p>
          <w:p w14:paraId="238ABF4D">
            <w:pPr>
              <w:spacing w:line="360" w:lineRule="auto"/>
              <w:rPr>
                <w:rFonts w:hint="eastAsia"/>
                <w:szCs w:val="21"/>
              </w:rPr>
            </w:pPr>
            <w:r>
              <w:rPr>
                <w:rFonts w:hint="eastAsia"/>
                <w:szCs w:val="21"/>
              </w:rPr>
              <w:t>41001610020052512747</w:t>
            </w:r>
          </w:p>
        </w:tc>
        <w:tc>
          <w:tcPr>
            <w:tcW w:w="4261" w:type="dxa"/>
          </w:tcPr>
          <w:p w14:paraId="1CD9BAD3">
            <w:pPr>
              <w:spacing w:line="360" w:lineRule="auto"/>
              <w:rPr>
                <w:rFonts w:hint="eastAsia"/>
                <w:b/>
                <w:bCs/>
                <w:szCs w:val="21"/>
              </w:rPr>
            </w:pPr>
            <w:r>
              <w:rPr>
                <w:rFonts w:hint="eastAsia"/>
                <w:b/>
                <w:bCs/>
                <w:szCs w:val="21"/>
              </w:rPr>
              <w:t>开户银行及帐号：</w:t>
            </w:r>
          </w:p>
          <w:p w14:paraId="67E0FFED">
            <w:pPr>
              <w:spacing w:line="360" w:lineRule="auto"/>
              <w:rPr>
                <w:rFonts w:hint="eastAsia"/>
                <w:szCs w:val="21"/>
              </w:rPr>
            </w:pPr>
          </w:p>
        </w:tc>
      </w:tr>
      <w:tr w14:paraId="3A5B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261" w:type="dxa"/>
          </w:tcPr>
          <w:p w14:paraId="177E7D39">
            <w:pPr>
              <w:spacing w:line="360" w:lineRule="auto"/>
              <w:rPr>
                <w:rFonts w:hint="eastAsia"/>
                <w:b/>
                <w:szCs w:val="21"/>
              </w:rPr>
            </w:pPr>
            <w:r>
              <w:rPr>
                <w:rFonts w:hint="eastAsia"/>
                <w:b/>
                <w:szCs w:val="21"/>
              </w:rPr>
              <w:t>纳税人识别号：</w:t>
            </w:r>
          </w:p>
          <w:p w14:paraId="6A96B378">
            <w:pPr>
              <w:spacing w:line="360" w:lineRule="auto"/>
              <w:rPr>
                <w:rFonts w:hint="eastAsia"/>
                <w:szCs w:val="21"/>
              </w:rPr>
            </w:pPr>
            <w:r>
              <w:rPr>
                <w:rFonts w:hint="eastAsia"/>
                <w:szCs w:val="21"/>
              </w:rPr>
              <w:t>121000004158011251</w:t>
            </w:r>
          </w:p>
        </w:tc>
        <w:tc>
          <w:tcPr>
            <w:tcW w:w="4261" w:type="dxa"/>
            <w:vAlign w:val="center"/>
          </w:tcPr>
          <w:p w14:paraId="326FF28A">
            <w:pPr>
              <w:spacing w:line="360" w:lineRule="auto"/>
              <w:rPr>
                <w:rFonts w:hint="eastAsia"/>
                <w:b/>
                <w:szCs w:val="21"/>
              </w:rPr>
            </w:pPr>
            <w:r>
              <w:rPr>
                <w:rFonts w:hint="eastAsia"/>
                <w:b/>
                <w:szCs w:val="21"/>
              </w:rPr>
              <w:t>纳税人识别号：</w:t>
            </w:r>
          </w:p>
          <w:p w14:paraId="0BB859D9">
            <w:pPr>
              <w:spacing w:line="360" w:lineRule="auto"/>
              <w:rPr>
                <w:rFonts w:hint="eastAsia"/>
                <w:szCs w:val="21"/>
              </w:rPr>
            </w:pPr>
          </w:p>
        </w:tc>
      </w:tr>
    </w:tbl>
    <w:p w14:paraId="6700AD95">
      <w:pPr>
        <w:widowControl/>
        <w:spacing w:before="100" w:after="100" w:line="360" w:lineRule="auto"/>
        <w:ind w:left="76" w:right="76"/>
        <w:jc w:val="left"/>
        <w:outlineLvl w:val="1"/>
        <w:rPr>
          <w:rFonts w:hint="eastAsia"/>
          <w:kern w:val="0"/>
          <w:szCs w:val="21"/>
          <w:shd w:val="clear" w:color="auto" w:fill="FFFFFF"/>
        </w:rPr>
      </w:pPr>
      <w:r>
        <w:rPr>
          <w:rFonts w:hint="eastAsia"/>
          <w:kern w:val="0"/>
          <w:szCs w:val="21"/>
          <w:shd w:val="clear" w:color="auto" w:fill="FFFFFF"/>
        </w:rPr>
        <w:t>六、履约保证金退还</w:t>
      </w:r>
    </w:p>
    <w:p w14:paraId="20101C2D">
      <w:pPr>
        <w:widowControl/>
        <w:spacing w:before="100" w:after="100" w:line="360" w:lineRule="auto"/>
        <w:ind w:right="74" w:firstLine="420" w:firstLineChars="200"/>
        <w:jc w:val="left"/>
        <w:rPr>
          <w:rFonts w:hint="eastAsia"/>
          <w:kern w:val="0"/>
          <w:szCs w:val="21"/>
        </w:rPr>
      </w:pPr>
      <w:r>
        <w:rPr>
          <w:rFonts w:hint="eastAsia"/>
          <w:kern w:val="0"/>
          <w:szCs w:val="21"/>
        </w:rPr>
        <w:t>在乙方完成其合同义务包括任何保证义务后30天内，甲方将履约保证金一次性退还乙方。</w:t>
      </w:r>
    </w:p>
    <w:p w14:paraId="2515A52B">
      <w:pPr>
        <w:widowControl/>
        <w:spacing w:before="100" w:after="100" w:line="360" w:lineRule="auto"/>
        <w:ind w:left="76" w:right="76"/>
        <w:jc w:val="left"/>
        <w:outlineLvl w:val="1"/>
        <w:rPr>
          <w:rFonts w:hint="eastAsia"/>
          <w:spacing w:val="3"/>
          <w:kern w:val="0"/>
          <w:szCs w:val="21"/>
          <w:shd w:val="clear" w:color="auto" w:fill="FFFFFF"/>
        </w:rPr>
      </w:pPr>
      <w:r>
        <w:rPr>
          <w:rFonts w:hint="eastAsia"/>
          <w:spacing w:val="3"/>
          <w:kern w:val="0"/>
          <w:szCs w:val="21"/>
          <w:shd w:val="clear" w:color="auto" w:fill="FFFFFF"/>
        </w:rPr>
        <w:t>七、知识产权产权归属</w:t>
      </w:r>
    </w:p>
    <w:p w14:paraId="4A6E2CA6">
      <w:pPr>
        <w:spacing w:line="360" w:lineRule="auto"/>
        <w:ind w:firstLine="540"/>
        <w:rPr>
          <w:rFonts w:hint="eastAsia"/>
          <w:szCs w:val="21"/>
        </w:rPr>
      </w:pPr>
      <w:r>
        <w:rPr>
          <w:rFonts w:hint="eastAsia"/>
          <w:szCs w:val="21"/>
        </w:rPr>
        <w:t>本项目实施过程中所形成的所有相关技术资料及所有技术成果等知识产权归甲方所有，未经甲方书面同意，乙方不得对外提供；经甲方书面授权乙方可以使用。凡涉及本合同关键技术和成果，未经甲方同意，乙方不得对外发表，本条款在合同终止后依然有约束力。</w:t>
      </w:r>
    </w:p>
    <w:p w14:paraId="7FB3C7D3">
      <w:pPr>
        <w:widowControl/>
        <w:spacing w:before="100" w:after="100" w:line="360" w:lineRule="auto"/>
        <w:ind w:left="76" w:right="76"/>
        <w:jc w:val="left"/>
        <w:outlineLvl w:val="1"/>
        <w:rPr>
          <w:rFonts w:hint="eastAsia"/>
          <w:kern w:val="0"/>
          <w:szCs w:val="21"/>
        </w:rPr>
      </w:pPr>
      <w:r>
        <w:rPr>
          <w:rFonts w:hint="eastAsia"/>
          <w:spacing w:val="2"/>
          <w:kern w:val="0"/>
          <w:szCs w:val="21"/>
          <w:shd w:val="clear" w:color="auto" w:fill="FFFFFF"/>
        </w:rPr>
        <w:t>八、违约责任与赔偿损失</w:t>
      </w:r>
    </w:p>
    <w:p w14:paraId="2F05DC98">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（1)乙方提供的服务不符合采购文件、报价文件或本合同规定的，甲方有权拒收，乙方须根据违约时间向甲方支付本合同总价日万分之五的违约金。</w:t>
      </w:r>
    </w:p>
    <w:p w14:paraId="0EEC7F46">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（2）乙方未能按本合同规定的交货时间提供服务，从逾期之日起每日按本合同总价1‰的数额向甲方支付违约金；逾期1个月以上的，甲方有权终止合同，由此造成的甲方经济损失由乙方承担。</w:t>
      </w:r>
    </w:p>
    <w:p w14:paraId="21DB61EB">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（3）如乙方违约，甲方可以直接在乙方的合同价款或履约保证金中扣除。</w:t>
      </w:r>
    </w:p>
    <w:p w14:paraId="784844C4">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（4）其它违约责任按《中华人民共和国民法典》相关规定处理。</w:t>
      </w:r>
    </w:p>
    <w:p w14:paraId="07830F96">
      <w:pPr>
        <w:widowControl/>
        <w:spacing w:before="100" w:after="100" w:line="360" w:lineRule="auto"/>
        <w:ind w:left="76" w:right="76"/>
        <w:jc w:val="left"/>
        <w:outlineLvl w:val="1"/>
        <w:rPr>
          <w:rFonts w:hint="eastAsia"/>
          <w:spacing w:val="4"/>
          <w:kern w:val="0"/>
          <w:szCs w:val="21"/>
        </w:rPr>
      </w:pPr>
      <w:r>
        <w:rPr>
          <w:rFonts w:hint="eastAsia"/>
          <w:spacing w:val="4"/>
          <w:kern w:val="0"/>
          <w:szCs w:val="21"/>
          <w:shd w:val="clear" w:color="auto" w:fill="FFFFFF"/>
        </w:rPr>
        <w:t>九、争端的解决</w:t>
      </w:r>
    </w:p>
    <w:p w14:paraId="49F9B50C">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合同执行过程中发生的任何争议，如双方不能通过友好协商解决，按相关法律法规处理，双方均有权向</w:t>
      </w:r>
      <w:r>
        <w:rPr>
          <w:rFonts w:hint="eastAsia"/>
          <w:kern w:val="0"/>
          <w:szCs w:val="21"/>
          <w:u w:val="single"/>
          <w:shd w:val="clear" w:color="auto" w:fill="FFFFFF"/>
        </w:rPr>
        <w:t>甲方</w:t>
      </w:r>
      <w:r>
        <w:rPr>
          <w:rFonts w:hint="eastAsia"/>
          <w:kern w:val="0"/>
          <w:szCs w:val="21"/>
          <w:shd w:val="clear" w:color="auto" w:fill="FFFFFF"/>
        </w:rPr>
        <w:t>所在地人民法院起诉。</w:t>
      </w:r>
    </w:p>
    <w:p w14:paraId="0BA3791C">
      <w:pPr>
        <w:widowControl/>
        <w:spacing w:line="360" w:lineRule="auto"/>
        <w:jc w:val="left"/>
        <w:outlineLvl w:val="1"/>
        <w:rPr>
          <w:rFonts w:hint="eastAsia"/>
          <w:b w:val="0"/>
          <w:bCs/>
          <w:szCs w:val="21"/>
        </w:rPr>
      </w:pPr>
      <w:r>
        <w:rPr>
          <w:rFonts w:hint="eastAsia"/>
          <w:b w:val="0"/>
          <w:bCs/>
          <w:szCs w:val="21"/>
        </w:rPr>
        <w:t>十、验收标准</w:t>
      </w:r>
    </w:p>
    <w:p w14:paraId="1969E24B">
      <w:pPr>
        <w:spacing w:line="360" w:lineRule="auto"/>
        <w:ind w:firstLine="420" w:firstLineChars="200"/>
        <w:jc w:val="left"/>
        <w:rPr>
          <w:rFonts w:hint="eastAsia"/>
          <w:szCs w:val="21"/>
        </w:rPr>
      </w:pPr>
      <w:r>
        <w:rPr>
          <w:rFonts w:hint="eastAsia"/>
          <w:szCs w:val="21"/>
        </w:rPr>
        <w:t>1.履约验收主体:河南省地震局</w:t>
      </w:r>
    </w:p>
    <w:p w14:paraId="0E1B16CA">
      <w:pPr>
        <w:spacing w:line="360" w:lineRule="auto"/>
        <w:ind w:firstLine="420" w:firstLineChars="200"/>
        <w:jc w:val="left"/>
        <w:rPr>
          <w:rFonts w:hint="eastAsia"/>
          <w:szCs w:val="21"/>
        </w:rPr>
      </w:pPr>
      <w:r>
        <w:rPr>
          <w:rFonts w:hint="eastAsia"/>
          <w:szCs w:val="21"/>
        </w:rPr>
        <w:t>2.履约验收时间:按照阶段进行验收。</w:t>
      </w:r>
    </w:p>
    <w:p w14:paraId="4045F80F">
      <w:pPr>
        <w:spacing w:line="360" w:lineRule="auto"/>
        <w:ind w:firstLine="420" w:firstLineChars="200"/>
        <w:jc w:val="left"/>
        <w:rPr>
          <w:rFonts w:hint="eastAsia"/>
          <w:szCs w:val="21"/>
        </w:rPr>
      </w:pPr>
      <w:r>
        <w:rPr>
          <w:rFonts w:hint="eastAsia"/>
          <w:szCs w:val="21"/>
        </w:rPr>
        <w:t>3.履约验收方式:及时组织专家对乙方提交的阶段成果及最终成果进行验收</w:t>
      </w:r>
    </w:p>
    <w:p w14:paraId="0A114A88">
      <w:pPr>
        <w:spacing w:line="360" w:lineRule="auto"/>
        <w:ind w:firstLine="420" w:firstLineChars="200"/>
        <w:jc w:val="left"/>
        <w:rPr>
          <w:color w:val="auto"/>
          <w:szCs w:val="21"/>
          <w:highlight w:val="none"/>
        </w:rPr>
      </w:pPr>
      <w:r>
        <w:rPr>
          <w:rFonts w:hint="eastAsia"/>
          <w:szCs w:val="21"/>
          <w:highlight w:val="none"/>
        </w:rPr>
        <w:t>4.</w:t>
      </w:r>
      <w:bookmarkStart w:id="757" w:name="_Hlk205907225"/>
      <w:r>
        <w:rPr>
          <w:rFonts w:hint="eastAsia"/>
          <w:szCs w:val="21"/>
          <w:highlight w:val="none"/>
        </w:rPr>
        <w:t>履约验收程序</w:t>
      </w:r>
      <w:bookmarkEnd w:id="757"/>
      <w:r>
        <w:rPr>
          <w:rFonts w:hint="eastAsia"/>
          <w:szCs w:val="21"/>
          <w:highlight w:val="none"/>
        </w:rPr>
        <w:t>：按照阶段</w:t>
      </w:r>
      <w:r>
        <w:rPr>
          <w:rFonts w:hint="eastAsia"/>
          <w:color w:val="auto"/>
          <w:szCs w:val="21"/>
          <w:highlight w:val="none"/>
        </w:rPr>
        <w:t>进行验收。</w:t>
      </w:r>
    </w:p>
    <w:p w14:paraId="3D86C884">
      <w:pPr>
        <w:spacing w:line="360" w:lineRule="auto"/>
        <w:ind w:firstLine="420" w:firstLineChars="200"/>
        <w:jc w:val="left"/>
        <w:rPr>
          <w:color w:val="auto"/>
          <w:kern w:val="0"/>
          <w:szCs w:val="21"/>
          <w:highlight w:val="none"/>
          <w:u w:val="single"/>
          <w:shd w:val="clear" w:color="auto" w:fill="FFFFFF"/>
        </w:rPr>
      </w:pPr>
      <w:r>
        <w:rPr>
          <w:rFonts w:hint="eastAsia"/>
          <w:color w:val="auto"/>
          <w:kern w:val="0"/>
          <w:szCs w:val="21"/>
          <w:highlight w:val="none"/>
          <w:u w:val="single"/>
          <w:shd w:val="clear" w:color="auto" w:fill="FFFFFF"/>
        </w:rPr>
        <w:t>完成现场设备安装调试任务，设备全部安装完成，达到入网标准。</w:t>
      </w:r>
    </w:p>
    <w:p w14:paraId="574A2586">
      <w:pPr>
        <w:spacing w:line="360" w:lineRule="auto"/>
        <w:ind w:firstLine="420" w:firstLineChars="200"/>
        <w:jc w:val="left"/>
        <w:rPr>
          <w:rFonts w:hint="eastAsia"/>
          <w:color w:val="auto"/>
          <w:szCs w:val="21"/>
          <w:highlight w:val="none"/>
        </w:rPr>
      </w:pPr>
      <w:r>
        <w:rPr>
          <w:rFonts w:hint="eastAsia"/>
          <w:color w:val="auto"/>
          <w:szCs w:val="21"/>
          <w:highlight w:val="none"/>
        </w:rPr>
        <w:t>甲方对乙方提交的项目总成果报告和软硬件平台建设与集成成果进行验收。</w:t>
      </w:r>
    </w:p>
    <w:p w14:paraId="528E69DC">
      <w:pPr>
        <w:spacing w:line="360" w:lineRule="auto"/>
        <w:ind w:firstLine="420" w:firstLineChars="200"/>
        <w:jc w:val="left"/>
        <w:rPr>
          <w:rFonts w:hint="eastAsia"/>
          <w:szCs w:val="21"/>
          <w:highlight w:val="none"/>
        </w:rPr>
      </w:pPr>
      <w:r>
        <w:rPr>
          <w:rFonts w:hint="eastAsia"/>
          <w:szCs w:val="21"/>
          <w:highlight w:val="none"/>
        </w:rPr>
        <w:t>5.履约验收内容</w:t>
      </w:r>
    </w:p>
    <w:p w14:paraId="3C7FF124">
      <w:pPr>
        <w:spacing w:line="360" w:lineRule="auto"/>
        <w:ind w:firstLine="420" w:firstLineChars="200"/>
        <w:jc w:val="left"/>
        <w:rPr>
          <w:rFonts w:hint="eastAsia"/>
          <w:szCs w:val="21"/>
        </w:rPr>
      </w:pPr>
      <w:r>
        <w:rPr>
          <w:rFonts w:hint="eastAsia"/>
          <w:iCs/>
          <w:szCs w:val="21"/>
          <w:lang w:val="zh-CN"/>
        </w:rPr>
        <w:t>（1）乙方投标文件中工作内容；(2）招标文件中要求的工作内容；（3）双方在工作进行过程中，根据项目进展情况，所要求的工作内容</w:t>
      </w:r>
      <w:r>
        <w:rPr>
          <w:rFonts w:hint="eastAsia"/>
          <w:i/>
          <w:szCs w:val="21"/>
        </w:rPr>
        <w:t>。</w:t>
      </w:r>
    </w:p>
    <w:p w14:paraId="1352D237">
      <w:pPr>
        <w:spacing w:line="360" w:lineRule="auto"/>
        <w:ind w:firstLine="420" w:firstLineChars="200"/>
        <w:jc w:val="left"/>
        <w:rPr>
          <w:rFonts w:hint="eastAsia"/>
          <w:szCs w:val="21"/>
        </w:rPr>
      </w:pPr>
      <w:r>
        <w:rPr>
          <w:rFonts w:hint="eastAsia"/>
          <w:szCs w:val="21"/>
        </w:rPr>
        <w:t>6.履约验收标准:合格，符合相关的国家标准、行业标准和专业标准。</w:t>
      </w:r>
    </w:p>
    <w:p w14:paraId="6B573D2D">
      <w:pPr>
        <w:widowControl/>
        <w:spacing w:before="100" w:after="100" w:line="360" w:lineRule="auto"/>
        <w:ind w:right="74" w:firstLine="420" w:firstLineChars="200"/>
        <w:jc w:val="left"/>
        <w:rPr>
          <w:rFonts w:hint="eastAsia"/>
          <w:kern w:val="0"/>
          <w:szCs w:val="21"/>
          <w:shd w:val="clear" w:color="auto" w:fill="FFFFFF"/>
        </w:rPr>
      </w:pPr>
      <w:r>
        <w:rPr>
          <w:rFonts w:hint="eastAsia"/>
          <w:szCs w:val="21"/>
        </w:rPr>
        <w:t>7.履约验收其他事项:无。</w:t>
      </w:r>
    </w:p>
    <w:p w14:paraId="0CD2E634">
      <w:pPr>
        <w:widowControl/>
        <w:spacing w:before="100" w:after="100" w:line="360" w:lineRule="auto"/>
        <w:ind w:left="76" w:right="76"/>
        <w:jc w:val="left"/>
        <w:outlineLvl w:val="1"/>
        <w:rPr>
          <w:rFonts w:hint="eastAsia"/>
          <w:kern w:val="0"/>
          <w:szCs w:val="21"/>
          <w:shd w:val="clear" w:color="auto" w:fill="FFFFFF"/>
        </w:rPr>
      </w:pPr>
      <w:r>
        <w:rPr>
          <w:rFonts w:hint="eastAsia"/>
          <w:kern w:val="0"/>
          <w:szCs w:val="21"/>
          <w:shd w:val="clear" w:color="auto" w:fill="FFFFFF"/>
        </w:rPr>
        <w:t>十一、不可抗力</w:t>
      </w:r>
    </w:p>
    <w:p w14:paraId="11D6204D">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（1）任何一方由于不可抗力原因而延误履行、部分或全部不能履行合同时，不作违约；遭受不可抗力的一方，应尽可能采取一切合理措施减少因这一事件造成的损失，并在不可抗力事件结束后尽快履行其义务。</w:t>
      </w:r>
    </w:p>
    <w:p w14:paraId="5EA1E16B">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2）遇有不可抗力的乙方，应在不可抗力事件发生48小时内，将事件情况以书面形式通知甲方，并在尽可能快的时间内向甲方提交本合同不能履行、部分不能履行或需延期履行的说明。否则，因此而造成的违约，乙方承担相应的违约责任。违约金从履约保证金中直接扣除，超出履约保证金的部分，甲方有权利要求乙方清偿。</w:t>
      </w:r>
    </w:p>
    <w:p w14:paraId="0351AF99">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（3）在取得有关机构的不可抗力证明或双方谅解确认后，允许延期履行或修订合同，双方根据情况可部分或全部免于承担违约责任。</w:t>
      </w:r>
    </w:p>
    <w:p w14:paraId="6FCA3F5F">
      <w:pPr>
        <w:widowControl/>
        <w:spacing w:before="100" w:after="100" w:line="360" w:lineRule="auto"/>
        <w:ind w:left="76" w:right="76"/>
        <w:jc w:val="left"/>
        <w:outlineLvl w:val="1"/>
        <w:rPr>
          <w:rFonts w:hint="eastAsia"/>
          <w:kern w:val="0"/>
          <w:szCs w:val="21"/>
        </w:rPr>
      </w:pPr>
      <w:r>
        <w:rPr>
          <w:rFonts w:hint="eastAsia"/>
          <w:kern w:val="0"/>
          <w:szCs w:val="21"/>
          <w:shd w:val="clear" w:color="auto" w:fill="FFFFFF"/>
        </w:rPr>
        <w:t>十二、税费</w:t>
      </w:r>
    </w:p>
    <w:p w14:paraId="3CEE0199">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在中国境内、外发生的与本合同执行有关的一切税费按照国家相关规定缴付由乙方负担。</w:t>
      </w:r>
    </w:p>
    <w:p w14:paraId="11C00C26">
      <w:pPr>
        <w:widowControl/>
        <w:spacing w:before="100" w:after="100" w:line="360" w:lineRule="auto"/>
        <w:ind w:left="76" w:right="76"/>
        <w:jc w:val="left"/>
        <w:outlineLvl w:val="1"/>
        <w:rPr>
          <w:rFonts w:hint="eastAsia"/>
          <w:kern w:val="0"/>
          <w:szCs w:val="21"/>
        </w:rPr>
      </w:pPr>
      <w:r>
        <w:rPr>
          <w:rFonts w:hint="eastAsia"/>
          <w:spacing w:val="6"/>
          <w:kern w:val="0"/>
          <w:szCs w:val="21"/>
          <w:shd w:val="clear" w:color="auto" w:fill="FFFFFF"/>
        </w:rPr>
        <w:t>十三、其它</w:t>
      </w:r>
    </w:p>
    <w:p w14:paraId="0F9EBED0">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1）本合同所有附件、招标文件、投标文件、中标通知书均为合同的有效组成部分，与本合同具有同等法律效力。</w:t>
      </w:r>
    </w:p>
    <w:p w14:paraId="580ADD18">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2）在执行本合同的过程中，所有经双方签署确认的文件（包括会议纪要、补充协议、往来信函）即成为本合同的有效组成部分，与本合同具有同等法律效力。</w:t>
      </w:r>
    </w:p>
    <w:p w14:paraId="33D0D004">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3）如一方地址、电话、传真号码有变更，应在变更后5个工作日内书面通知对方，否则，因此而产生的违约责任由过错方承担相应责任。</w:t>
      </w:r>
    </w:p>
    <w:p w14:paraId="6CC8EB50">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4）除甲方事先书面同意外，乙方不得部分或全部转让其应履行的合同项下的义务。</w:t>
      </w:r>
    </w:p>
    <w:p w14:paraId="72F84F4D">
      <w:pPr>
        <w:widowControl/>
        <w:spacing w:before="100" w:after="100" w:line="360" w:lineRule="auto"/>
        <w:ind w:left="76" w:right="76"/>
        <w:jc w:val="left"/>
        <w:outlineLvl w:val="1"/>
        <w:rPr>
          <w:rFonts w:hint="eastAsia"/>
          <w:kern w:val="0"/>
          <w:szCs w:val="21"/>
        </w:rPr>
      </w:pPr>
      <w:r>
        <w:rPr>
          <w:rFonts w:hint="eastAsia"/>
          <w:spacing w:val="4"/>
          <w:kern w:val="0"/>
          <w:szCs w:val="21"/>
          <w:shd w:val="clear" w:color="auto" w:fill="FFFFFF"/>
        </w:rPr>
        <w:t>十四、合同生效</w:t>
      </w:r>
    </w:p>
    <w:p w14:paraId="3B0724E6">
      <w:pPr>
        <w:widowControl/>
        <w:spacing w:before="100" w:after="100" w:line="360" w:lineRule="auto"/>
        <w:ind w:left="74" w:right="74" w:firstLine="420" w:firstLineChars="200"/>
        <w:jc w:val="left"/>
        <w:rPr>
          <w:rFonts w:hint="eastAsia"/>
          <w:kern w:val="0"/>
          <w:szCs w:val="21"/>
        </w:rPr>
      </w:pPr>
      <w:r>
        <w:rPr>
          <w:rFonts w:hint="eastAsia"/>
          <w:kern w:val="0"/>
          <w:szCs w:val="21"/>
          <w:shd w:val="clear" w:color="auto" w:fill="FFFFFF"/>
        </w:rPr>
        <w:t>1</w:t>
      </w:r>
      <w:r>
        <w:rPr>
          <w:rFonts w:hint="eastAsia"/>
          <w:spacing w:val="-9"/>
          <w:kern w:val="0"/>
          <w:szCs w:val="21"/>
          <w:shd w:val="clear" w:color="auto" w:fill="FFFFFF"/>
        </w:rPr>
        <w:t>）本合同在甲乙双方法人代表或其授权代表签字盖章后生效。</w:t>
      </w:r>
    </w:p>
    <w:p w14:paraId="1C1F6300">
      <w:pPr>
        <w:widowControl/>
        <w:spacing w:before="100" w:after="100" w:line="360" w:lineRule="auto"/>
        <w:ind w:left="74" w:right="74" w:firstLine="420" w:firstLineChars="200"/>
        <w:jc w:val="left"/>
        <w:rPr>
          <w:rFonts w:hint="eastAsia"/>
          <w:kern w:val="0"/>
          <w:szCs w:val="21"/>
          <w:shd w:val="clear" w:color="auto" w:fill="FFFFFF"/>
        </w:rPr>
      </w:pPr>
      <w:r>
        <w:rPr>
          <w:rFonts w:hint="eastAsia"/>
          <w:kern w:val="0"/>
          <w:szCs w:val="21"/>
          <w:shd w:val="clear" w:color="auto" w:fill="FFFFFF"/>
        </w:rPr>
        <w:t>2）本合同一式</w:t>
      </w:r>
      <w:r>
        <w:rPr>
          <w:rFonts w:hint="eastAsia"/>
          <w:kern w:val="0"/>
          <w:szCs w:val="21"/>
          <w:u w:val="single"/>
          <w:shd w:val="clear" w:color="auto" w:fill="FFFFFF"/>
        </w:rPr>
        <w:t xml:space="preserve">    </w:t>
      </w:r>
      <w:r>
        <w:rPr>
          <w:rFonts w:hint="eastAsia"/>
          <w:kern w:val="0"/>
          <w:szCs w:val="21"/>
          <w:shd w:val="clear" w:color="auto" w:fill="FFFFFF"/>
        </w:rPr>
        <w:t>份，甲方执</w:t>
      </w:r>
      <w:r>
        <w:rPr>
          <w:rFonts w:hint="eastAsia"/>
          <w:kern w:val="0"/>
          <w:szCs w:val="21"/>
          <w:u w:val="single"/>
          <w:shd w:val="clear" w:color="auto" w:fill="FFFFFF"/>
        </w:rPr>
        <w:t xml:space="preserve">   </w:t>
      </w:r>
      <w:r>
        <w:rPr>
          <w:rFonts w:hint="eastAsia"/>
          <w:kern w:val="0"/>
          <w:szCs w:val="21"/>
          <w:shd w:val="clear" w:color="auto" w:fill="FFFFFF"/>
        </w:rPr>
        <w:t>份，乙方执</w:t>
      </w:r>
      <w:r>
        <w:rPr>
          <w:rFonts w:hint="eastAsia"/>
          <w:kern w:val="0"/>
          <w:szCs w:val="21"/>
          <w:u w:val="single"/>
          <w:shd w:val="clear" w:color="auto" w:fill="FFFFFF"/>
        </w:rPr>
        <w:t xml:space="preserve">   </w:t>
      </w:r>
      <w:r>
        <w:rPr>
          <w:rFonts w:hint="eastAsia"/>
          <w:kern w:val="0"/>
          <w:szCs w:val="21"/>
          <w:shd w:val="clear" w:color="auto" w:fill="FFFFFF"/>
        </w:rPr>
        <w:t>份，均具同等法律效力。</w:t>
      </w:r>
    </w:p>
    <w:p w14:paraId="7B25A980">
      <w:pPr>
        <w:widowControl/>
        <w:spacing w:before="100" w:after="100" w:line="360" w:lineRule="auto"/>
        <w:ind w:left="76" w:right="76"/>
        <w:jc w:val="left"/>
        <w:rPr>
          <w:rFonts w:hint="eastAsia"/>
          <w:spacing w:val="5"/>
          <w:kern w:val="0"/>
          <w:szCs w:val="21"/>
          <w:shd w:val="clear" w:color="auto" w:fill="FFFFFF"/>
        </w:rPr>
      </w:pPr>
    </w:p>
    <w:p w14:paraId="6EE47DAC">
      <w:pPr>
        <w:widowControl/>
        <w:spacing w:before="100" w:after="100" w:line="360" w:lineRule="auto"/>
        <w:ind w:left="76" w:right="76"/>
        <w:jc w:val="left"/>
        <w:rPr>
          <w:rFonts w:hint="eastAsia"/>
          <w:kern w:val="0"/>
          <w:szCs w:val="21"/>
        </w:rPr>
      </w:pPr>
      <w:r>
        <w:rPr>
          <w:rFonts w:hint="eastAsia"/>
          <w:spacing w:val="5"/>
          <w:kern w:val="0"/>
          <w:szCs w:val="21"/>
          <w:shd w:val="clear" w:color="auto" w:fill="FFFFFF"/>
        </w:rPr>
        <w:t>甲方（盖章）</w:t>
      </w:r>
      <w:r>
        <w:rPr>
          <w:rFonts w:hint="eastAsia"/>
          <w:kern w:val="0"/>
          <w:szCs w:val="21"/>
          <w:shd w:val="clear" w:color="auto" w:fill="FFFFFF"/>
        </w:rPr>
        <w:t xml:space="preserve">：               </w:t>
      </w:r>
      <w:r>
        <w:rPr>
          <w:rFonts w:hint="eastAsia"/>
          <w:kern w:val="0"/>
          <w:szCs w:val="21"/>
        </w:rPr>
        <w:t xml:space="preserve">   </w:t>
      </w:r>
      <w:r>
        <w:rPr>
          <w:kern w:val="0"/>
          <w:szCs w:val="21"/>
        </w:rPr>
        <w:t xml:space="preserve">       </w:t>
      </w:r>
      <w:r>
        <w:rPr>
          <w:rFonts w:hint="eastAsia"/>
          <w:spacing w:val="5"/>
          <w:kern w:val="0"/>
          <w:szCs w:val="21"/>
          <w:shd w:val="clear" w:color="auto" w:fill="FFFFFF"/>
        </w:rPr>
        <w:t>乙方（盖章）</w:t>
      </w:r>
      <w:r>
        <w:rPr>
          <w:rFonts w:hint="eastAsia"/>
          <w:kern w:val="0"/>
          <w:szCs w:val="21"/>
          <w:shd w:val="clear" w:color="auto" w:fill="FFFFFF"/>
        </w:rPr>
        <w:t>：</w:t>
      </w:r>
    </w:p>
    <w:p w14:paraId="4EB61829">
      <w:pPr>
        <w:widowControl/>
        <w:spacing w:before="100" w:after="100" w:line="360" w:lineRule="auto"/>
        <w:ind w:left="76" w:right="76"/>
        <w:jc w:val="left"/>
        <w:rPr>
          <w:rFonts w:hint="eastAsia"/>
          <w:kern w:val="0"/>
          <w:szCs w:val="21"/>
        </w:rPr>
      </w:pPr>
      <w:r>
        <w:rPr>
          <w:rFonts w:hint="eastAsia"/>
          <w:kern w:val="0"/>
          <w:szCs w:val="21"/>
          <w:shd w:val="clear" w:color="auto" w:fill="FFFFFF"/>
        </w:rPr>
        <w:t xml:space="preserve">法人或委托代理人签字或签章：      </w:t>
      </w:r>
      <w:r>
        <w:rPr>
          <w:kern w:val="0"/>
          <w:szCs w:val="21"/>
          <w:shd w:val="clear" w:color="auto" w:fill="FFFFFF"/>
        </w:rPr>
        <w:t xml:space="preserve">    </w:t>
      </w:r>
      <w:r>
        <w:rPr>
          <w:rFonts w:hint="eastAsia"/>
          <w:kern w:val="0"/>
          <w:szCs w:val="21"/>
          <w:shd w:val="clear" w:color="auto" w:fill="FFFFFF"/>
        </w:rPr>
        <w:t>法人或委托代理人签字或签章：</w:t>
      </w:r>
    </w:p>
    <w:p w14:paraId="3AC9AD4B">
      <w:pPr>
        <w:widowControl/>
        <w:spacing w:before="100" w:after="100" w:line="360" w:lineRule="auto"/>
        <w:ind w:left="76" w:right="76"/>
        <w:jc w:val="left"/>
        <w:rPr>
          <w:rFonts w:hint="eastAsia"/>
          <w:kern w:val="0"/>
          <w:szCs w:val="21"/>
          <w:shd w:val="clear" w:color="auto" w:fill="FFFFFF"/>
        </w:rPr>
      </w:pPr>
      <w:r>
        <w:rPr>
          <w:rFonts w:hint="eastAsia"/>
          <w:spacing w:val="-7"/>
          <w:kern w:val="0"/>
          <w:szCs w:val="21"/>
          <w:shd w:val="clear" w:color="auto" w:fill="FFFFFF"/>
        </w:rPr>
        <w:t>签定地点：</w:t>
      </w:r>
    </w:p>
    <w:p w14:paraId="6609EC43">
      <w:pPr>
        <w:widowControl/>
        <w:spacing w:before="100" w:after="100" w:line="360" w:lineRule="auto"/>
        <w:ind w:left="76" w:right="76"/>
        <w:jc w:val="left"/>
        <w:rPr>
          <w:rFonts w:hint="eastAsia"/>
          <w:kern w:val="0"/>
          <w:szCs w:val="21"/>
          <w:shd w:val="clear" w:color="auto" w:fill="FFFFFF"/>
        </w:rPr>
      </w:pPr>
      <w:r>
        <w:rPr>
          <w:rFonts w:hint="eastAsia"/>
          <w:kern w:val="0"/>
          <w:szCs w:val="21"/>
          <w:shd w:val="clear" w:color="auto" w:fill="FFFFFF"/>
        </w:rPr>
        <w:t xml:space="preserve">签定日期：   年  月  日             </w:t>
      </w:r>
      <w:r>
        <w:rPr>
          <w:kern w:val="0"/>
          <w:szCs w:val="21"/>
          <w:shd w:val="clear" w:color="auto" w:fill="FFFFFF"/>
        </w:rPr>
        <w:t xml:space="preserve">    </w:t>
      </w:r>
      <w:r>
        <w:rPr>
          <w:rFonts w:hint="eastAsia"/>
          <w:kern w:val="0"/>
          <w:szCs w:val="21"/>
          <w:shd w:val="clear" w:color="auto" w:fill="FFFFFF"/>
        </w:rPr>
        <w:t>签定日期：   年  月  日</w:t>
      </w:r>
      <w:bookmarkEnd w:id="754"/>
    </w:p>
    <w:p w14:paraId="25B9B443">
      <w:pPr>
        <w:pStyle w:val="21"/>
        <w:widowControl/>
        <w:spacing w:before="100" w:after="100" w:line="360" w:lineRule="auto"/>
        <w:ind w:left="76" w:right="76" w:firstLine="0"/>
        <w:jc w:val="left"/>
        <w:rPr>
          <w:rFonts w:hint="eastAsia"/>
        </w:rPr>
      </w:pPr>
      <w:r>
        <w:br w:type="page"/>
      </w:r>
    </w:p>
    <w:bookmarkEnd w:id="755"/>
    <w:p w14:paraId="604533B9">
      <w:pPr>
        <w:pStyle w:val="2"/>
        <w:rPr>
          <w:rFonts w:hint="eastAsia" w:ascii="宋体" w:hAnsi="宋体"/>
          <w:szCs w:val="32"/>
        </w:rPr>
      </w:pPr>
      <w:bookmarkStart w:id="758" w:name="_Toc23883"/>
      <w:bookmarkStart w:id="759" w:name="_Toc32216"/>
      <w:r>
        <w:rPr>
          <w:rFonts w:hint="eastAsia" w:ascii="宋体" w:hAnsi="宋体"/>
          <w:szCs w:val="32"/>
        </w:rPr>
        <w:t>第六章 采购需求</w:t>
      </w:r>
      <w:bookmarkEnd w:id="758"/>
      <w:bookmarkEnd w:id="759"/>
    </w:p>
    <w:p w14:paraId="59DE21B0">
      <w:pPr>
        <w:spacing w:line="360" w:lineRule="auto"/>
        <w:ind w:firstLine="420" w:firstLineChars="200"/>
        <w:rPr>
          <w:rFonts w:hint="eastAsia"/>
          <w:szCs w:val="21"/>
        </w:rPr>
      </w:pPr>
    </w:p>
    <w:p w14:paraId="39BF42D7">
      <w:pPr>
        <w:pStyle w:val="3"/>
        <w:ind w:firstLine="422" w:firstLineChars="200"/>
        <w:rPr>
          <w:rFonts w:hint="eastAsia" w:ascii="宋体" w:hAnsi="宋体"/>
          <w:sz w:val="21"/>
          <w:szCs w:val="21"/>
        </w:rPr>
      </w:pPr>
      <w:bookmarkStart w:id="760" w:name="_Toc334"/>
      <w:bookmarkStart w:id="761" w:name="_Toc16659"/>
      <w:r>
        <w:rPr>
          <w:rFonts w:hint="eastAsia" w:ascii="宋体" w:hAnsi="宋体"/>
          <w:sz w:val="21"/>
          <w:szCs w:val="21"/>
        </w:rPr>
        <w:t>（一）重大工程地震安全在线监测与健康诊断平台建设</w:t>
      </w:r>
      <w:bookmarkEnd w:id="760"/>
      <w:bookmarkEnd w:id="761"/>
    </w:p>
    <w:p w14:paraId="79740D24">
      <w:pPr>
        <w:spacing w:line="360" w:lineRule="auto"/>
        <w:ind w:firstLine="420" w:firstLineChars="200"/>
        <w:rPr>
          <w:rStyle w:val="27"/>
          <w:rFonts w:hint="eastAsia"/>
        </w:rPr>
      </w:pPr>
      <w:r>
        <w:rPr>
          <w:rStyle w:val="27"/>
          <w:rFonts w:hint="eastAsia"/>
        </w:rPr>
        <w:t>重大工程安全与地震安全在线监测及健康诊断平台，是一个融合数据管理、实时监控、智能分析、巡检养护及可视化展示的综合性管理系统。该系统依托物联网技术构建，旨在实现重大工程结构全生命周期的安全监测、健康诊断及智能管养。系统以BIM/ GIS模型为核心载体，深度整合多源异构数据，构建了涵盖数据采集、实时传输、存储管理、智能分析至可视化决策的闭环管理体系。</w:t>
      </w:r>
    </w:p>
    <w:p w14:paraId="74291284">
      <w:pPr>
        <w:spacing w:line="360" w:lineRule="auto"/>
        <w:ind w:firstLine="420" w:firstLineChars="200"/>
        <w:rPr>
          <w:rStyle w:val="27"/>
          <w:rFonts w:hint="eastAsia"/>
        </w:rPr>
      </w:pPr>
      <w:r>
        <w:rPr>
          <w:rStyle w:val="27"/>
          <w:rFonts w:hint="eastAsia"/>
        </w:rPr>
        <w:t>系统应能够通过高并发数据接入网关，实时汇聚前端各类传感器（如应变、位移、振动、环境等）的监测数据，并结合静态资料（规范标准、巡检记录），构建成结构化的工程大数据资源池。依托数据融合与分析引擎，对海量时序数据进行实时处理与深度挖掘，从而实现结构健康状态的精准评估、异常模式的早期识别及未来趋势的科学预测。系统应实现综合数据可视化技术，打造面向宏观决策的数字驾驶舱和面向精细化管理的交互场景。通过将监测数据、预警信息、病害记录、巡检任务与模型构件进行双向映射和关联，实现“以图知势”的直观管理模式。此外，系统支持全流程的人工巡检与自动化报告生成，并整合了应急预案管理模块，为工程安全运营提供从日常监测到应急处置的全方位数据驱动决策支持，全面提升重大工程运维管理的精细化、智能化和科学化水平。</w:t>
      </w:r>
    </w:p>
    <w:p w14:paraId="66B83648">
      <w:pPr>
        <w:pStyle w:val="4"/>
        <w:ind w:firstLine="422" w:firstLineChars="200"/>
        <w:rPr>
          <w:rFonts w:hint="eastAsia"/>
        </w:rPr>
      </w:pPr>
      <w:bookmarkStart w:id="762" w:name="_Toc676"/>
      <w:r>
        <w:rPr>
          <w:rFonts w:hint="eastAsia"/>
        </w:rPr>
        <w:t>1、平台总体技术要求</w:t>
      </w:r>
      <w:bookmarkEnd w:id="762"/>
    </w:p>
    <w:p w14:paraId="44074A63">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（1）平台架构及软硬件适配</w:t>
      </w:r>
    </w:p>
    <w:p w14:paraId="66BD96D2">
      <w:pPr>
        <w:numPr>
          <w:ilvl w:val="0"/>
          <w:numId w:val="22"/>
        </w:numPr>
        <w:spacing w:line="360" w:lineRule="auto"/>
        <w:ind w:firstLine="420" w:firstLineChars="200"/>
        <w:rPr>
          <w:rFonts w:hint="eastAsia"/>
          <w:szCs w:val="21"/>
        </w:rPr>
      </w:pPr>
      <w:r>
        <w:rPr>
          <w:rFonts w:hint="eastAsia"/>
          <w:szCs w:val="21"/>
        </w:rPr>
        <w:t>应采用先进、稳定、成熟的多层应用体系结构（B/S架构）。</w:t>
      </w:r>
    </w:p>
    <w:p w14:paraId="124FF4D9">
      <w:pPr>
        <w:numPr>
          <w:ilvl w:val="0"/>
          <w:numId w:val="22"/>
        </w:numPr>
        <w:spacing w:line="360" w:lineRule="auto"/>
        <w:ind w:firstLine="420" w:firstLineChars="200"/>
        <w:rPr>
          <w:rFonts w:hint="eastAsia"/>
          <w:szCs w:val="21"/>
          <w:highlight w:val="none"/>
        </w:rPr>
      </w:pPr>
      <w:r>
        <w:rPr>
          <w:rFonts w:hint="eastAsia"/>
          <w:szCs w:val="21"/>
          <w:highlight w:val="none"/>
        </w:rPr>
        <w:t>应采用中间件和组件化服务为核心技术，确保系统的开放性、可扩展性及可维护性。</w:t>
      </w:r>
    </w:p>
    <w:p w14:paraId="2070D44B">
      <w:pPr>
        <w:numPr>
          <w:ilvl w:val="0"/>
          <w:numId w:val="22"/>
        </w:numPr>
        <w:spacing w:line="360" w:lineRule="auto"/>
        <w:ind w:firstLine="420" w:firstLineChars="200"/>
        <w:rPr>
          <w:rFonts w:hint="eastAsia"/>
          <w:szCs w:val="21"/>
          <w:highlight w:val="none"/>
        </w:rPr>
      </w:pPr>
      <w:r>
        <w:rPr>
          <w:rFonts w:hint="eastAsia"/>
          <w:szCs w:val="21"/>
          <w:highlight w:val="none"/>
        </w:rPr>
        <w:t>GIS支撑引擎需要适配北京超图、飞度、中地数码、深圳吉奥等品牌。</w:t>
      </w:r>
    </w:p>
    <w:p w14:paraId="238D0236">
      <w:pPr>
        <w:spacing w:line="360" w:lineRule="auto"/>
        <w:ind w:firstLine="420" w:firstLineChars="200"/>
        <w:rPr>
          <w:rFonts w:hint="eastAsia"/>
          <w:szCs w:val="21"/>
          <w:highlight w:val="none"/>
        </w:rPr>
      </w:pPr>
      <w:r>
        <w:rPr>
          <w:rFonts w:hint="eastAsia"/>
          <w:szCs w:val="21"/>
          <w:highlight w:val="none"/>
        </w:rPr>
        <w:t>d. 系统应全面支持与符合安全可靠测评要求的操作系统、数据库、中间件相适配和兼容性认证，确保系统运行的安全可控。</w:t>
      </w:r>
    </w:p>
    <w:p w14:paraId="739A9799">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（2）系统性能</w:t>
      </w:r>
    </w:p>
    <w:p w14:paraId="0CB6BB73">
      <w:pPr>
        <w:numPr>
          <w:ilvl w:val="0"/>
          <w:numId w:val="23"/>
        </w:numPr>
        <w:spacing w:line="360" w:lineRule="auto"/>
        <w:ind w:firstLine="420" w:firstLineChars="200"/>
        <w:rPr>
          <w:rFonts w:hint="eastAsia"/>
          <w:szCs w:val="21"/>
        </w:rPr>
      </w:pPr>
      <w:r>
        <w:rPr>
          <w:rFonts w:hint="eastAsia"/>
          <w:szCs w:val="21"/>
        </w:rPr>
        <w:t>系统应支持7×24小时不间断稳定运行。</w:t>
      </w:r>
    </w:p>
    <w:p w14:paraId="5941EFC9">
      <w:pPr>
        <w:numPr>
          <w:ilvl w:val="0"/>
          <w:numId w:val="23"/>
        </w:numPr>
        <w:spacing w:line="360" w:lineRule="auto"/>
        <w:ind w:firstLine="420" w:firstLineChars="200"/>
        <w:rPr>
          <w:rFonts w:hint="eastAsia"/>
          <w:szCs w:val="21"/>
        </w:rPr>
      </w:pPr>
      <w:r>
        <w:rPr>
          <w:rFonts w:hint="eastAsia"/>
          <w:szCs w:val="21"/>
        </w:rPr>
        <w:t>关键数据查询与界面响应时间应小于3秒。</w:t>
      </w:r>
    </w:p>
    <w:p w14:paraId="5198D706">
      <w:pPr>
        <w:numPr>
          <w:ilvl w:val="0"/>
          <w:numId w:val="23"/>
        </w:numPr>
        <w:spacing w:line="360" w:lineRule="auto"/>
        <w:ind w:firstLine="420" w:firstLineChars="200"/>
        <w:rPr>
          <w:rFonts w:hint="eastAsia"/>
          <w:b/>
          <w:szCs w:val="21"/>
        </w:rPr>
      </w:pPr>
      <w:r>
        <w:rPr>
          <w:rFonts w:hint="eastAsia"/>
          <w:szCs w:val="21"/>
        </w:rPr>
        <w:t>应支持不少于100个并发用户访问。</w:t>
      </w:r>
    </w:p>
    <w:p w14:paraId="6F7DD552">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（3）接口与对接</w:t>
      </w:r>
    </w:p>
    <w:p w14:paraId="496DAA51">
      <w:pPr>
        <w:spacing w:line="360" w:lineRule="auto"/>
        <w:ind w:firstLine="420" w:firstLineChars="200"/>
        <w:rPr>
          <w:rFonts w:hint="eastAsia"/>
          <w:szCs w:val="21"/>
        </w:rPr>
      </w:pPr>
      <w:r>
        <w:rPr>
          <w:rFonts w:hint="eastAsia"/>
          <w:szCs w:val="21"/>
        </w:rPr>
        <w:t>应提供标准、开放的数据接口，支持与上级监管平台或其他第三方业务系统进行数据对接与共享。</w:t>
      </w:r>
    </w:p>
    <w:p w14:paraId="0F2BC543">
      <w:pPr>
        <w:pStyle w:val="4"/>
        <w:ind w:firstLine="422" w:firstLineChars="200"/>
        <w:rPr>
          <w:rFonts w:hint="eastAsia"/>
        </w:rPr>
      </w:pPr>
      <w:bookmarkStart w:id="763" w:name="_Toc10433"/>
      <w:r>
        <w:rPr>
          <w:rFonts w:hint="eastAsia"/>
        </w:rPr>
        <w:t>2、功能模块详细技术要求</w:t>
      </w:r>
      <w:bookmarkEnd w:id="763"/>
    </w:p>
    <w:p w14:paraId="1D3B5B08">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（1）静态与动态资料管理</w:t>
      </w:r>
    </w:p>
    <w:p w14:paraId="09200485">
      <w:pPr>
        <w:spacing w:line="360" w:lineRule="auto"/>
        <w:ind w:firstLine="420" w:firstLineChars="200"/>
        <w:rPr>
          <w:rFonts w:hint="eastAsia"/>
          <w:szCs w:val="21"/>
        </w:rPr>
      </w:pPr>
      <w:r>
        <w:rPr>
          <w:rFonts w:hint="eastAsia"/>
          <w:szCs w:val="21"/>
        </w:rPr>
        <w:t>结构化资料管理：应支持以树形结构对桥梁、大坝等工程对象的资料进行分类组织和管理，包括但不限于结构基本信息（设计图纸、文件）、运营监测管理信息（传感器布置图）等。</w:t>
      </w:r>
    </w:p>
    <w:p w14:paraId="2C5A2827">
      <w:pPr>
        <w:spacing w:line="360" w:lineRule="auto"/>
        <w:ind w:firstLine="420" w:firstLineChars="200"/>
        <w:rPr>
          <w:rFonts w:hint="eastAsia"/>
          <w:szCs w:val="21"/>
        </w:rPr>
      </w:pPr>
      <w:r>
        <w:rPr>
          <w:rFonts w:hint="eastAsia"/>
          <w:szCs w:val="21"/>
        </w:rPr>
        <w:t>多格式支持：应支持常见文档（Word, PDF, Excel）、图片（JPG, PNG）、模型文件等多种格式资料的上传、在线预览、下载及关联管理。</w:t>
      </w:r>
    </w:p>
    <w:p w14:paraId="19C31EBC">
      <w:pPr>
        <w:spacing w:line="360" w:lineRule="auto"/>
        <w:ind w:firstLine="420" w:firstLineChars="200"/>
        <w:rPr>
          <w:rFonts w:hint="eastAsia"/>
          <w:szCs w:val="21"/>
        </w:rPr>
      </w:pPr>
      <w:r>
        <w:rPr>
          <w:rFonts w:hint="eastAsia"/>
          <w:szCs w:val="21"/>
        </w:rPr>
        <w:t>模型关联：支持将静态资料与三维模型中的具体构件进行关联，实现模型-资料双向查询。</w:t>
      </w:r>
    </w:p>
    <w:p w14:paraId="6D7EDF78">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（2）实时数据监测与预警</w:t>
      </w:r>
    </w:p>
    <w:p w14:paraId="3750023E">
      <w:pPr>
        <w:spacing w:line="360" w:lineRule="auto"/>
        <w:ind w:firstLine="420" w:firstLineChars="200"/>
        <w:rPr>
          <w:rFonts w:hint="eastAsia"/>
          <w:szCs w:val="21"/>
        </w:rPr>
      </w:pPr>
      <w:r>
        <w:rPr>
          <w:rFonts w:hint="eastAsia"/>
          <w:szCs w:val="21"/>
        </w:rPr>
        <w:t>数据实时展示：应能实时接收并处理各传感器上传的数据，并以数据曲线、仪表盘等多种可视化形式进行直观展示。</w:t>
      </w:r>
    </w:p>
    <w:p w14:paraId="1372E3E9">
      <w:pPr>
        <w:spacing w:line="360" w:lineRule="auto"/>
        <w:ind w:firstLine="420" w:firstLineChars="200"/>
        <w:rPr>
          <w:rFonts w:hint="eastAsia"/>
          <w:szCs w:val="21"/>
        </w:rPr>
      </w:pPr>
      <w:r>
        <w:rPr>
          <w:rFonts w:hint="eastAsia"/>
          <w:szCs w:val="21"/>
        </w:rPr>
        <w:t>预警值对比：界面上应同时显示各监测参数的实时监测数据、设计标准值以及各级安全预警阈值。</w:t>
      </w:r>
    </w:p>
    <w:p w14:paraId="399E1DE3">
      <w:pPr>
        <w:spacing w:line="360" w:lineRule="auto"/>
        <w:ind w:firstLine="420" w:firstLineChars="200"/>
        <w:rPr>
          <w:rFonts w:hint="eastAsia"/>
          <w:szCs w:val="21"/>
        </w:rPr>
      </w:pPr>
      <w:r>
        <w:rPr>
          <w:rFonts w:hint="eastAsia"/>
          <w:szCs w:val="21"/>
        </w:rPr>
        <w:t>监测项整合：应以监测项为单位，整合展示传感器类型、测点位置及实时监测值，为用户提供便捷、直观的监控体验。</w:t>
      </w:r>
    </w:p>
    <w:p w14:paraId="01ED68CE">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（3）定制化研发基于地震速报、地震预警的地震信息服务平台</w:t>
      </w:r>
    </w:p>
    <w:p w14:paraId="0BDA6A6D">
      <w:pPr>
        <w:spacing w:line="360" w:lineRule="auto"/>
        <w:ind w:firstLine="420" w:firstLineChars="200"/>
        <w:rPr>
          <w:rFonts w:hint="eastAsia"/>
          <w:szCs w:val="21"/>
        </w:rPr>
      </w:pPr>
      <w:r>
        <w:rPr>
          <w:rFonts w:hint="eastAsia"/>
          <w:szCs w:val="21"/>
        </w:rPr>
        <w:t>综合利用地震速报信息提醒坝桥管理单位及时检查设备运行状态，避免出现坝桥结构出现损伤而无人发现等情况。平台具备根据设备实时采集的波形数据分析造成坝桥结构损伤的地震波形频谱特征，分析坝桥响应敏感周期及振动幅值，为告警系统参数调整提供技术支撑，并能与地震速报信息系统进行数据融合。</w:t>
      </w:r>
    </w:p>
    <w:p w14:paraId="553184EE">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（3）数据分析管理与报告</w:t>
      </w:r>
    </w:p>
    <w:p w14:paraId="67C58B2C">
      <w:pPr>
        <w:spacing w:line="360" w:lineRule="auto"/>
        <w:ind w:firstLine="420" w:firstLineChars="200"/>
        <w:rPr>
          <w:rFonts w:hint="eastAsia"/>
          <w:szCs w:val="21"/>
          <w:highlight w:val="none"/>
        </w:rPr>
      </w:pPr>
      <w:r>
        <w:rPr>
          <w:rFonts w:hint="eastAsia"/>
          <w:szCs w:val="21"/>
        </w:rPr>
        <w:t>报表服务：应能从海量监测数据中提取有效数据，支持按需生成月报表、季度报表、年报表及自定义时间段的报表。</w:t>
      </w:r>
    </w:p>
    <w:p w14:paraId="2078F70B">
      <w:pPr>
        <w:spacing w:line="360" w:lineRule="auto"/>
        <w:ind w:firstLine="420" w:firstLineChars="200"/>
        <w:rPr>
          <w:rFonts w:hint="eastAsia"/>
          <w:szCs w:val="21"/>
        </w:rPr>
      </w:pPr>
      <w:r>
        <w:rPr>
          <w:rFonts w:hint="eastAsia"/>
          <w:szCs w:val="21"/>
          <w:highlight w:val="none"/>
        </w:rPr>
        <w:t>报表功能：报表应具备数据处理、统计分析功能，能够评价工程对象健康与否，</w:t>
      </w:r>
      <w:r>
        <w:rPr>
          <w:rFonts w:hint="eastAsia"/>
          <w:szCs w:val="21"/>
        </w:rPr>
        <w:t>并支持在线预览、导出（Word/PDF/Excel格式）及打印。</w:t>
      </w:r>
    </w:p>
    <w:p w14:paraId="5BAA3597">
      <w:pPr>
        <w:spacing w:line="360" w:lineRule="auto"/>
        <w:ind w:firstLine="420" w:firstLineChars="200"/>
        <w:rPr>
          <w:rFonts w:hint="eastAsia"/>
          <w:szCs w:val="21"/>
        </w:rPr>
      </w:pPr>
      <w:r>
        <w:rPr>
          <w:rFonts w:hint="eastAsia"/>
          <w:szCs w:val="21"/>
        </w:rPr>
        <w:t>数据分析：应提供历史数据趋势分析、数据对比分析、模态分析等功能，辅助用户掌握结构运行状态和变化规律。</w:t>
      </w:r>
    </w:p>
    <w:p w14:paraId="2BD6BE78">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（4）人工巡检与管养决策</w:t>
      </w:r>
    </w:p>
    <w:p w14:paraId="6855C88C">
      <w:pPr>
        <w:spacing w:line="360" w:lineRule="auto"/>
        <w:ind w:firstLine="420" w:firstLineChars="200"/>
        <w:rPr>
          <w:rFonts w:hint="eastAsia"/>
          <w:szCs w:val="21"/>
        </w:rPr>
      </w:pPr>
      <w:r>
        <w:rPr>
          <w:rFonts w:hint="eastAsia"/>
          <w:szCs w:val="21"/>
        </w:rPr>
        <w:t>全流程巡检管理：应包含结构初始、日常、定期、特殊等多种检查类型的管理模块。</w:t>
      </w:r>
    </w:p>
    <w:p w14:paraId="3DFBA396">
      <w:pPr>
        <w:spacing w:line="360" w:lineRule="auto"/>
        <w:ind w:firstLine="420" w:firstLineChars="200"/>
        <w:rPr>
          <w:rFonts w:hint="eastAsia"/>
          <w:szCs w:val="21"/>
        </w:rPr>
      </w:pPr>
      <w:r>
        <w:rPr>
          <w:rFonts w:hint="eastAsia"/>
          <w:szCs w:val="21"/>
        </w:rPr>
        <w:t>病害管理：支持巡检病害信息的导入、查询、统计与展示，内置标准病害库，支持系统自动识别与推送。</w:t>
      </w:r>
    </w:p>
    <w:p w14:paraId="79BF8D93">
      <w:pPr>
        <w:spacing w:line="360" w:lineRule="auto"/>
        <w:ind w:firstLine="420" w:firstLineChars="200"/>
        <w:rPr>
          <w:rFonts w:hint="eastAsia"/>
          <w:szCs w:val="21"/>
        </w:rPr>
      </w:pPr>
      <w:r>
        <w:rPr>
          <w:rFonts w:hint="eastAsia"/>
          <w:szCs w:val="21"/>
        </w:rPr>
        <w:t>移动端支持：应提供智能手持终端巡检模块或接口，方便外业人员进行数据录入和查询。</w:t>
      </w:r>
    </w:p>
    <w:p w14:paraId="44A749AC">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（5）可视化展示管理</w:t>
      </w:r>
    </w:p>
    <w:p w14:paraId="60C21C55">
      <w:pPr>
        <w:pStyle w:val="6"/>
        <w:spacing w:before="0" w:after="0" w:line="360" w:lineRule="auto"/>
        <w:ind w:firstLine="422" w:firstLineChars="200"/>
        <w:rPr>
          <w:rFonts w:hint="eastAsia"/>
          <w:sz w:val="21"/>
          <w:szCs w:val="21"/>
        </w:rPr>
      </w:pPr>
      <w:r>
        <w:rPr>
          <w:rFonts w:hint="eastAsia"/>
          <w:sz w:val="21"/>
          <w:szCs w:val="21"/>
        </w:rPr>
        <w:t>1）数字看板</w:t>
      </w:r>
    </w:p>
    <w:p w14:paraId="11C5C259">
      <w:pPr>
        <w:spacing w:line="360" w:lineRule="auto"/>
        <w:ind w:firstLine="420" w:firstLineChars="200"/>
        <w:rPr>
          <w:rFonts w:hint="eastAsia"/>
          <w:szCs w:val="21"/>
        </w:rPr>
      </w:pPr>
      <w:r>
        <w:rPr>
          <w:rFonts w:hint="eastAsia"/>
          <w:szCs w:val="21"/>
          <w:lang w:val="hi-IN"/>
        </w:rPr>
        <w:t>应构建面向宏观决策的数字看板，将工程结构、周边环境及关键设备等信息呈现，集成各类监测数据，通过图表、曲线等动态可视化形式，实现对工程健康运行状态的实时监测与直观展示。</w:t>
      </w:r>
    </w:p>
    <w:p w14:paraId="6ABD7F29">
      <w:pPr>
        <w:pStyle w:val="6"/>
        <w:spacing w:before="0" w:after="0" w:line="360" w:lineRule="auto"/>
        <w:ind w:firstLine="422" w:firstLineChars="200"/>
        <w:rPr>
          <w:rFonts w:hint="eastAsia"/>
          <w:sz w:val="21"/>
          <w:szCs w:val="21"/>
        </w:rPr>
      </w:pPr>
      <w:r>
        <w:rPr>
          <w:rFonts w:hint="eastAsia"/>
          <w:sz w:val="21"/>
          <w:szCs w:val="21"/>
        </w:rPr>
        <w:t>2）传感器管理</w:t>
      </w:r>
    </w:p>
    <w:p w14:paraId="02C435E5">
      <w:pPr>
        <w:spacing w:line="360" w:lineRule="auto"/>
        <w:ind w:firstLine="420" w:firstLineChars="200"/>
        <w:rPr>
          <w:rFonts w:hint="eastAsia"/>
          <w:szCs w:val="21"/>
        </w:rPr>
      </w:pPr>
      <w:r>
        <w:rPr>
          <w:rFonts w:hint="eastAsia"/>
          <w:szCs w:val="21"/>
        </w:rPr>
        <w:t>支持按类别或在地图上框选等方式进行查询定位。</w:t>
      </w:r>
    </w:p>
    <w:p w14:paraId="3C54382E">
      <w:pPr>
        <w:spacing w:line="360" w:lineRule="auto"/>
        <w:ind w:firstLine="420" w:firstLineChars="200"/>
        <w:rPr>
          <w:rFonts w:hint="eastAsia"/>
          <w:szCs w:val="21"/>
        </w:rPr>
      </w:pPr>
      <w:r>
        <w:rPr>
          <w:rFonts w:hint="eastAsia"/>
          <w:szCs w:val="21"/>
        </w:rPr>
        <w:t>支持点击传感器模型，查看其实时状态信息和历史数据曲线。</w:t>
      </w:r>
    </w:p>
    <w:p w14:paraId="05FC1A14">
      <w:pPr>
        <w:pStyle w:val="6"/>
        <w:spacing w:before="0" w:after="0" w:line="360" w:lineRule="auto"/>
        <w:ind w:firstLine="422" w:firstLineChars="200"/>
        <w:rPr>
          <w:rFonts w:hint="eastAsia"/>
          <w:sz w:val="21"/>
          <w:szCs w:val="21"/>
        </w:rPr>
      </w:pPr>
      <w:r>
        <w:rPr>
          <w:rFonts w:hint="eastAsia"/>
          <w:sz w:val="21"/>
          <w:szCs w:val="21"/>
        </w:rPr>
        <w:t>3）健康监测管理</w:t>
      </w:r>
    </w:p>
    <w:p w14:paraId="338121D2">
      <w:pPr>
        <w:spacing w:line="360" w:lineRule="auto"/>
        <w:ind w:firstLine="420" w:firstLineChars="200"/>
        <w:rPr>
          <w:rFonts w:hint="eastAsia"/>
          <w:szCs w:val="21"/>
        </w:rPr>
      </w:pPr>
      <w:r>
        <w:rPr>
          <w:rFonts w:hint="eastAsia"/>
          <w:szCs w:val="21"/>
        </w:rPr>
        <w:t>健康报告生成：应能根据采集的监测数据自动生成健康报告，报告应包含统计图表、趋势图、数据表格等，直观展示工程健康状况。</w:t>
      </w:r>
    </w:p>
    <w:p w14:paraId="7BFB43BC">
      <w:pPr>
        <w:spacing w:line="360" w:lineRule="auto"/>
        <w:ind w:firstLine="420" w:firstLineChars="200"/>
        <w:rPr>
          <w:rFonts w:hint="eastAsia"/>
          <w:szCs w:val="21"/>
        </w:rPr>
      </w:pPr>
      <w:r>
        <w:rPr>
          <w:rFonts w:hint="eastAsia"/>
          <w:szCs w:val="21"/>
        </w:rPr>
        <w:t>数据统计与分析：应能根据不同种类的监测数据生成相应的统计图表，如平均值、最大/最小值、标准差等。</w:t>
      </w:r>
    </w:p>
    <w:p w14:paraId="71628A51">
      <w:pPr>
        <w:pStyle w:val="6"/>
        <w:spacing w:before="0" w:after="0" w:line="360" w:lineRule="auto"/>
        <w:rPr>
          <w:rFonts w:hint="eastAsia"/>
          <w:sz w:val="21"/>
          <w:szCs w:val="21"/>
        </w:rPr>
      </w:pPr>
      <w:r>
        <w:rPr>
          <w:rFonts w:hint="eastAsia"/>
          <w:sz w:val="21"/>
          <w:szCs w:val="21"/>
        </w:rPr>
        <w:t xml:space="preserve">    4）监测预警管理</w:t>
      </w:r>
    </w:p>
    <w:p w14:paraId="6C612B8D">
      <w:pPr>
        <w:spacing w:line="360" w:lineRule="auto"/>
        <w:ind w:firstLine="420" w:firstLineChars="200"/>
        <w:rPr>
          <w:rFonts w:hint="eastAsia"/>
          <w:szCs w:val="21"/>
        </w:rPr>
      </w:pPr>
      <w:r>
        <w:rPr>
          <w:rFonts w:hint="eastAsia"/>
          <w:szCs w:val="21"/>
        </w:rPr>
        <w:t>统一预警管理：应提供统一的界面，对所有预警事件（包括视频监控预警、传感器监测预警等）进行集中管理和查看。</w:t>
      </w:r>
    </w:p>
    <w:p w14:paraId="66D0B03D">
      <w:pPr>
        <w:spacing w:line="360" w:lineRule="auto"/>
        <w:ind w:firstLine="420" w:firstLineChars="200"/>
        <w:rPr>
          <w:rFonts w:hint="eastAsia"/>
          <w:szCs w:val="21"/>
        </w:rPr>
      </w:pPr>
      <w:r>
        <w:rPr>
          <w:rFonts w:hint="eastAsia"/>
          <w:szCs w:val="21"/>
        </w:rPr>
        <w:t>监测预警查询：用户应能根据不同条件（如预警等级、时间、类型）对预警事件进行筛选、排序和查询。</w:t>
      </w:r>
    </w:p>
    <w:p w14:paraId="6F060347">
      <w:pPr>
        <w:spacing w:line="360" w:lineRule="auto"/>
        <w:ind w:firstLine="420" w:firstLineChars="200"/>
        <w:rPr>
          <w:rFonts w:hint="eastAsia"/>
          <w:szCs w:val="21"/>
        </w:rPr>
      </w:pPr>
      <w:r>
        <w:rPr>
          <w:rFonts w:hint="eastAsia"/>
          <w:szCs w:val="21"/>
        </w:rPr>
        <w:t>信息统计：应提供对各类预警事件的数量、频率、分布等信息进行统计和分析的功能。</w:t>
      </w:r>
    </w:p>
    <w:p w14:paraId="54B8A2F1">
      <w:pPr>
        <w:pStyle w:val="6"/>
        <w:spacing w:before="0" w:after="0" w:line="360" w:lineRule="auto"/>
        <w:rPr>
          <w:rFonts w:hint="eastAsia"/>
          <w:sz w:val="21"/>
          <w:szCs w:val="21"/>
        </w:rPr>
      </w:pPr>
      <w:r>
        <w:rPr>
          <w:rFonts w:hint="eastAsia"/>
          <w:sz w:val="21"/>
          <w:szCs w:val="21"/>
        </w:rPr>
        <w:t xml:space="preserve">    5）应急预案管理</w:t>
      </w:r>
    </w:p>
    <w:p w14:paraId="4A4FE3F9">
      <w:pPr>
        <w:spacing w:line="360" w:lineRule="auto"/>
        <w:ind w:firstLine="420" w:firstLineChars="200"/>
        <w:rPr>
          <w:rFonts w:hint="eastAsia"/>
          <w:szCs w:val="21"/>
          <w:lang w:val="hi-IN"/>
        </w:rPr>
      </w:pPr>
      <w:r>
        <w:rPr>
          <w:rFonts w:hint="eastAsia"/>
          <w:szCs w:val="21"/>
          <w:lang w:val="hi-IN"/>
        </w:rPr>
        <w:t>预案管理：应支持按事件等级、类型对预案进行分类管理；支持对预案信息、标绘图标库的维护；须具备权限管理功能。</w:t>
      </w:r>
    </w:p>
    <w:p w14:paraId="75E99AED">
      <w:pPr>
        <w:spacing w:line="360" w:lineRule="auto"/>
        <w:ind w:firstLine="420" w:firstLineChars="200"/>
        <w:rPr>
          <w:rFonts w:hint="eastAsia"/>
          <w:szCs w:val="21"/>
          <w:lang w:val="hi-IN"/>
        </w:rPr>
      </w:pPr>
      <w:r>
        <w:rPr>
          <w:rFonts w:hint="eastAsia"/>
          <w:szCs w:val="21"/>
          <w:lang w:val="hi-IN"/>
        </w:rPr>
        <w:t>场景管理：支持在一个预案下创建多个场景，并支持对场景顺序进行拖拽式调整。</w:t>
      </w:r>
    </w:p>
    <w:p w14:paraId="1DE95D47">
      <w:pPr>
        <w:pStyle w:val="4"/>
        <w:ind w:firstLine="422" w:firstLineChars="200"/>
        <w:rPr>
          <w:rFonts w:hint="eastAsia"/>
        </w:rPr>
      </w:pPr>
      <w:r>
        <w:rPr>
          <w:rFonts w:hint="eastAsia"/>
        </w:rPr>
        <w:t>3、第三方符合性测试及安全等保测评要求</w:t>
      </w:r>
    </w:p>
    <w:p w14:paraId="1CAC24EB">
      <w:pPr>
        <w:spacing w:line="360" w:lineRule="auto"/>
        <w:ind w:firstLine="420" w:firstLineChars="200"/>
        <w:rPr>
          <w:rStyle w:val="27"/>
          <w:rFonts w:hint="eastAsia"/>
        </w:rPr>
      </w:pPr>
      <w:r>
        <w:rPr>
          <w:rStyle w:val="27"/>
          <w:rFonts w:hint="eastAsia"/>
        </w:rPr>
        <w:t>重大工程安全与地震安全在线监测及健康诊断平台作为关键信息基础设施，应通过具备国家认可的专业资质第三方符合性测试，以验证平台的各项功能和性能指标，确保平台在实际应用中能够稳定、可靠地运行。</w:t>
      </w:r>
    </w:p>
    <w:p w14:paraId="131100B9">
      <w:pPr>
        <w:spacing w:line="360" w:lineRule="auto"/>
        <w:ind w:firstLine="420" w:firstLineChars="200"/>
        <w:rPr>
          <w:rStyle w:val="27"/>
          <w:rFonts w:hint="eastAsia"/>
        </w:rPr>
      </w:pPr>
      <w:r>
        <w:rPr>
          <w:rStyle w:val="27"/>
          <w:rFonts w:hint="eastAsia"/>
        </w:rPr>
        <w:t>此外，平台的网络安全保护等级需满足《信息安全技术网络安全等级保护基本要求》（GB/T 22239-2019）第二级（简称“等保二级”）的相关要求，并通过具备国家认可资质的第三方测评机构的安全等保测评。</w:t>
      </w:r>
    </w:p>
    <w:p w14:paraId="0E557946">
      <w:pPr>
        <w:autoSpaceDE w:val="0"/>
        <w:autoSpaceDN w:val="0"/>
        <w:adjustRightInd w:val="0"/>
        <w:spacing w:line="360" w:lineRule="auto"/>
        <w:ind w:right="-23" w:firstLine="422" w:firstLineChars="200"/>
        <w:jc w:val="left"/>
        <w:rPr>
          <w:rFonts w:hint="eastAsia"/>
          <w:b/>
          <w:bCs/>
          <w:kern w:val="0"/>
          <w:szCs w:val="21"/>
        </w:rPr>
      </w:pPr>
      <w:r>
        <w:rPr>
          <w:rFonts w:hint="eastAsia"/>
          <w:b/>
          <w:bCs/>
          <w:szCs w:val="21"/>
          <w:lang w:val="hi-IN"/>
        </w:rPr>
        <w:t>4、软件开发</w:t>
      </w:r>
      <w:r>
        <w:rPr>
          <w:rFonts w:hint="eastAsia"/>
          <w:b/>
          <w:bCs/>
          <w:kern w:val="0"/>
          <w:szCs w:val="21"/>
        </w:rPr>
        <w:t>源代码和软件著作权要求</w:t>
      </w:r>
    </w:p>
    <w:p w14:paraId="001A3186">
      <w:pPr>
        <w:spacing w:line="360" w:lineRule="auto"/>
        <w:ind w:firstLine="480"/>
        <w:rPr>
          <w:rFonts w:hint="eastAsia"/>
          <w:szCs w:val="21"/>
        </w:rPr>
      </w:pPr>
      <w:r>
        <w:rPr>
          <w:rFonts w:hint="eastAsia"/>
          <w:szCs w:val="21"/>
        </w:rPr>
        <w:t>1）软件开发源代码提交要求</w:t>
      </w:r>
    </w:p>
    <w:p w14:paraId="07EA92E9">
      <w:pPr>
        <w:spacing w:line="360" w:lineRule="auto"/>
        <w:ind w:firstLine="480"/>
        <w:rPr>
          <w:rFonts w:hint="eastAsia"/>
          <w:szCs w:val="21"/>
        </w:rPr>
      </w:pPr>
      <w:r>
        <w:rPr>
          <w:rFonts w:hint="eastAsia"/>
          <w:szCs w:val="21"/>
        </w:rPr>
        <w:t>要求提交针对本项目单独定制开发的原始源代码，需包含完整的语法结构，避免包含设计器生成的代码。第一页应为软件入口代码（如主函数、登录函数或主页代码）。</w:t>
      </w:r>
    </w:p>
    <w:p w14:paraId="4D12B515">
      <w:pPr>
        <w:spacing w:line="360" w:lineRule="auto"/>
        <w:ind w:firstLine="480"/>
        <w:rPr>
          <w:rFonts w:hint="eastAsia"/>
          <w:szCs w:val="21"/>
        </w:rPr>
      </w:pPr>
      <w:r>
        <w:rPr>
          <w:rFonts w:hint="eastAsia"/>
          <w:szCs w:val="21"/>
        </w:rPr>
        <w:t>2）软件著作权要求</w:t>
      </w:r>
    </w:p>
    <w:p w14:paraId="61B9D6EF">
      <w:pPr>
        <w:spacing w:line="360" w:lineRule="auto"/>
        <w:ind w:firstLine="480"/>
        <w:rPr>
          <w:rFonts w:hint="eastAsia"/>
          <w:szCs w:val="21"/>
        </w:rPr>
      </w:pPr>
      <w:r>
        <w:rPr>
          <w:rFonts w:hint="eastAsia"/>
          <w:szCs w:val="21"/>
        </w:rPr>
        <w:t>要求软件为原创开发，不得侵犯第三方知识产权。若涉及开源组件，需提供合法使用授权。需提交完整的源代码、软件用户手册，确保信息一致。</w:t>
      </w:r>
    </w:p>
    <w:p w14:paraId="31778A75">
      <w:pPr>
        <w:pStyle w:val="3"/>
        <w:ind w:firstLine="422" w:firstLineChars="200"/>
        <w:rPr>
          <w:rFonts w:hint="eastAsia" w:ascii="宋体" w:hAnsi="宋体"/>
          <w:sz w:val="21"/>
          <w:szCs w:val="21"/>
        </w:rPr>
      </w:pPr>
      <w:bookmarkStart w:id="764" w:name="_Toc7634"/>
      <w:bookmarkStart w:id="765" w:name="_Toc1046"/>
      <w:r>
        <w:rPr>
          <w:rFonts w:hint="eastAsia" w:ascii="宋体" w:hAnsi="宋体"/>
          <w:sz w:val="21"/>
          <w:szCs w:val="21"/>
        </w:rPr>
        <w:t>（二）应用示范工程建设</w:t>
      </w:r>
      <w:bookmarkEnd w:id="764"/>
      <w:bookmarkEnd w:id="765"/>
    </w:p>
    <w:p w14:paraId="5207791A">
      <w:pPr>
        <w:spacing w:line="360" w:lineRule="auto"/>
        <w:ind w:firstLine="420" w:firstLineChars="200"/>
        <w:rPr>
          <w:rStyle w:val="27"/>
          <w:rFonts w:hint="eastAsia"/>
        </w:rPr>
      </w:pPr>
      <w:r>
        <w:rPr>
          <w:rStyle w:val="27"/>
          <w:rFonts w:hint="eastAsia"/>
        </w:rPr>
        <w:t>应用示范工程强震动监测和结构健康监测系统应能涵盖水库大坝、公路桥梁等基础设施并满足其日常监测需求，具体工作包括：硬件设备匹配及采购、现场设备安装集成、系统平台搭建等。监测系统作为平台前端应用基础，还应能满足以下信息化功能需求：</w:t>
      </w:r>
    </w:p>
    <w:p w14:paraId="03BDC90B">
      <w:pPr>
        <w:numPr>
          <w:ilvl w:val="0"/>
          <w:numId w:val="24"/>
        </w:numPr>
        <w:spacing w:line="360" w:lineRule="auto"/>
        <w:ind w:firstLine="420" w:firstLineChars="200"/>
        <w:rPr>
          <w:rStyle w:val="27"/>
          <w:rFonts w:hint="eastAsia"/>
        </w:rPr>
      </w:pPr>
      <w:r>
        <w:rPr>
          <w:rStyle w:val="27"/>
          <w:rFonts w:hint="eastAsia"/>
        </w:rPr>
        <w:t>设备数据采集</w:t>
      </w:r>
    </w:p>
    <w:p w14:paraId="22D6625F">
      <w:pPr>
        <w:numPr>
          <w:ilvl w:val="255"/>
          <w:numId w:val="0"/>
        </w:numPr>
        <w:spacing w:line="360" w:lineRule="auto"/>
        <w:ind w:firstLine="420" w:firstLineChars="200"/>
        <w:rPr>
          <w:rStyle w:val="27"/>
          <w:rFonts w:hint="eastAsia"/>
        </w:rPr>
      </w:pPr>
      <w:r>
        <w:rPr>
          <w:rStyle w:val="27"/>
          <w:rFonts w:hint="eastAsia"/>
        </w:rPr>
        <w:t>监测系统可面向模拟量信号、光信号、数字信号等实现无人值守全自动实时采集；同步与多个采集器通讯，保障数据采集时刻的时效性和同步性；通过参数化配置满足监测系统采集策略。</w:t>
      </w:r>
    </w:p>
    <w:p w14:paraId="158892E8">
      <w:pPr>
        <w:numPr>
          <w:ilvl w:val="0"/>
          <w:numId w:val="24"/>
        </w:numPr>
        <w:spacing w:line="360" w:lineRule="auto"/>
        <w:ind w:firstLine="420" w:firstLineChars="200"/>
        <w:rPr>
          <w:rStyle w:val="27"/>
          <w:rFonts w:hint="eastAsia"/>
        </w:rPr>
      </w:pPr>
      <w:r>
        <w:rPr>
          <w:rStyle w:val="27"/>
          <w:rFonts w:hint="eastAsia"/>
        </w:rPr>
        <w:t>设备数据预处理</w:t>
      </w:r>
    </w:p>
    <w:p w14:paraId="33789131">
      <w:pPr>
        <w:numPr>
          <w:ilvl w:val="255"/>
          <w:numId w:val="0"/>
        </w:numPr>
        <w:spacing w:line="360" w:lineRule="auto"/>
        <w:ind w:firstLine="420" w:firstLineChars="200"/>
        <w:rPr>
          <w:rStyle w:val="27"/>
          <w:rFonts w:hint="eastAsia"/>
        </w:rPr>
      </w:pPr>
      <w:r>
        <w:rPr>
          <w:rStyle w:val="27"/>
          <w:rFonts w:hint="eastAsia"/>
        </w:rPr>
        <w:t>监测系统前端数据预处理可实现异常值识别与剔除、缺值补全、重复去重等清洗功能，确保数据真实性；能够消除环境干扰或系统误差，通过计算还原数据本身物理意义；能够将不同类型传感器（如模拟量、数字量）、不同厂商设备的数据转换为统一格式；统一不同采样频率数据的时间戳（如动态数据与静态数据的时间同步）；实现数据降维与重构，能够对海量数据进行压缩或特征提取，减少冗余。</w:t>
      </w:r>
    </w:p>
    <w:p w14:paraId="3366E682">
      <w:pPr>
        <w:numPr>
          <w:ilvl w:val="0"/>
          <w:numId w:val="24"/>
        </w:numPr>
        <w:spacing w:line="360" w:lineRule="auto"/>
        <w:ind w:firstLine="420" w:firstLineChars="200"/>
        <w:rPr>
          <w:rStyle w:val="27"/>
          <w:rFonts w:hint="eastAsia"/>
        </w:rPr>
      </w:pPr>
      <w:r>
        <w:rPr>
          <w:rStyle w:val="27"/>
          <w:rFonts w:hint="eastAsia"/>
        </w:rPr>
        <w:t>设备数据传输</w:t>
      </w:r>
    </w:p>
    <w:p w14:paraId="0DA5DDAD">
      <w:pPr>
        <w:numPr>
          <w:ilvl w:val="255"/>
          <w:numId w:val="0"/>
        </w:numPr>
        <w:spacing w:line="360" w:lineRule="auto"/>
        <w:ind w:firstLine="420" w:firstLineChars="200"/>
        <w:rPr>
          <w:rStyle w:val="27"/>
          <w:rFonts w:hint="eastAsia"/>
        </w:rPr>
      </w:pPr>
      <w:r>
        <w:rPr>
          <w:rStyle w:val="27"/>
          <w:rFonts w:hint="eastAsia"/>
        </w:rPr>
        <w:t>实现多协议数据接入与转发功能，支持不同类型传感器（应变、位移、振动、温湿度等）的原生协议接入，将预处理后的数据转发至省重大工程健康监测和诊断平台并实现数据无缝流转；应能实现数据实时/即时传输，确保平台安全预警满足时效性要求。</w:t>
      </w:r>
    </w:p>
    <w:p w14:paraId="2F35DE29">
      <w:pPr>
        <w:pStyle w:val="4"/>
        <w:ind w:firstLine="422" w:firstLineChars="200"/>
        <w:rPr>
          <w:rFonts w:hint="eastAsia"/>
        </w:rPr>
      </w:pPr>
      <w:bookmarkStart w:id="766" w:name="_Toc12077"/>
      <w:r>
        <w:rPr>
          <w:rFonts w:hint="eastAsia"/>
        </w:rPr>
        <w:t>1、小浪底水库大坝强震监测系统建设</w:t>
      </w:r>
      <w:bookmarkEnd w:id="766"/>
    </w:p>
    <w:p w14:paraId="40989A18">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（1）监测内容</w:t>
      </w:r>
    </w:p>
    <w:p w14:paraId="395C6455">
      <w:pPr>
        <w:spacing w:line="360" w:lineRule="auto"/>
        <w:ind w:firstLine="420" w:firstLineChars="200"/>
        <w:rPr>
          <w:rFonts w:hint="eastAsia"/>
          <w:szCs w:val="21"/>
        </w:rPr>
      </w:pPr>
      <w:r>
        <w:rPr>
          <w:rFonts w:hint="eastAsia"/>
          <w:szCs w:val="21"/>
        </w:rPr>
        <w:t>本项目小浪底水库大坝强震监测系统建设，根据小浪底水库大坝结构特点设计现场强震观测点，通过在测点上部署一体化强震仪，精确监测大坝结构振动信号，反应大坝结构的动力特性。现场监测数据实时传输至重大工程地震安全在线监测与健康诊断平台，依托平台算法对数据进行处理，从加速度、位移和结构频谱三个方面，开展大坝地震安全与结构状态的分析评估工作。</w:t>
      </w:r>
    </w:p>
    <w:p w14:paraId="2881F403">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（2）监测测点</w:t>
      </w:r>
    </w:p>
    <w:p w14:paraId="1C7AD67B">
      <w:pPr>
        <w:spacing w:line="360" w:lineRule="auto"/>
        <w:ind w:firstLine="420" w:firstLineChars="200"/>
        <w:rPr>
          <w:rFonts w:hint="eastAsia"/>
          <w:szCs w:val="21"/>
        </w:rPr>
      </w:pPr>
      <w:r>
        <w:rPr>
          <w:rFonts w:hint="eastAsia"/>
          <w:szCs w:val="21"/>
        </w:rPr>
        <w:t>鉴于小浪底大坝既有强震观测点，本着最大限度地节约成本和数据共享的原则，本项目计划在小浪底大坝坝体新增3个强震观测点，用于实时监测大坝主体结构在日常环境激励及地震、强风、水流冲击、撞击等灾害发生下的振动响应，提供异常振动等实时报警，通过长期监测，获取大坝主体结构模态变化资料，为评估坝体结构健康状态提供依据。</w:t>
      </w:r>
    </w:p>
    <w:p w14:paraId="2F82F9C9">
      <w:pPr>
        <w:spacing w:line="360" w:lineRule="auto"/>
        <w:ind w:firstLine="420" w:firstLineChars="200"/>
        <w:rPr>
          <w:rFonts w:hint="eastAsia"/>
          <w:szCs w:val="21"/>
        </w:rPr>
      </w:pPr>
      <w:r>
        <w:rPr>
          <w:rFonts w:hint="eastAsia"/>
          <w:szCs w:val="21"/>
        </w:rPr>
        <w:t>本项目需在3个强震观测点处浇筑观测仪器墩（若存在可固定面则无需浇筑），新增监测点根据现场已有台网布设情况，并结合现场查勘、委托方对测点规划需求等确定。</w:t>
      </w:r>
    </w:p>
    <w:p w14:paraId="4EB56A56">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（3）系统集成</w:t>
      </w:r>
    </w:p>
    <w:p w14:paraId="20BD48AD">
      <w:pPr>
        <w:spacing w:line="360" w:lineRule="auto"/>
        <w:ind w:firstLine="420" w:firstLineChars="200"/>
        <w:rPr>
          <w:rFonts w:hint="eastAsia"/>
          <w:szCs w:val="21"/>
        </w:rPr>
      </w:pPr>
      <w:r>
        <w:rPr>
          <w:rFonts w:hint="eastAsia"/>
          <w:szCs w:val="21"/>
        </w:rPr>
        <w:t>小浪底水库大坝强震监测系统集成主要包括现场采集传输集成、重大工程健康监测和诊断平台集成。通过现场集成调试，确保3个强震观测点正常运行，再通过组网传输将满足平台接口协议要求的强震监测数据发送至重大工程健康监测和诊断平台，并通过后者进行相关功能展示。</w:t>
      </w:r>
    </w:p>
    <w:p w14:paraId="1899C9C0">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（4）系统建设清单</w:t>
      </w:r>
    </w:p>
    <w:p w14:paraId="5EDD875E">
      <w:pPr>
        <w:spacing w:line="360" w:lineRule="auto"/>
        <w:ind w:firstLine="420" w:firstLineChars="200"/>
        <w:rPr>
          <w:rFonts w:hint="eastAsia"/>
          <w:szCs w:val="21"/>
        </w:rPr>
      </w:pPr>
      <w:r>
        <w:rPr>
          <w:rFonts w:hint="eastAsia"/>
          <w:szCs w:val="21"/>
        </w:rPr>
        <w:t>小浪底水库大坝强震监测系统建设清单如下表所示：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992"/>
        <w:gridCol w:w="1466"/>
        <w:gridCol w:w="1229"/>
      </w:tblGrid>
      <w:tr w14:paraId="4D8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1" w:type="dxa"/>
            <w:vAlign w:val="center"/>
          </w:tcPr>
          <w:p w14:paraId="739EF8F6">
            <w:pPr>
              <w:spacing w:line="360" w:lineRule="auto"/>
              <w:jc w:val="center"/>
              <w:rPr>
                <w:rFonts w:hint="eastAsia"/>
                <w:b/>
                <w:bCs/>
                <w:szCs w:val="21"/>
              </w:rPr>
            </w:pPr>
            <w:r>
              <w:rPr>
                <w:rFonts w:hint="eastAsia"/>
                <w:b/>
                <w:bCs/>
                <w:szCs w:val="21"/>
              </w:rPr>
              <w:t>序号</w:t>
            </w:r>
          </w:p>
        </w:tc>
        <w:tc>
          <w:tcPr>
            <w:tcW w:w="3992" w:type="dxa"/>
            <w:vAlign w:val="center"/>
          </w:tcPr>
          <w:p w14:paraId="34C1F113">
            <w:pPr>
              <w:spacing w:line="360" w:lineRule="auto"/>
              <w:jc w:val="center"/>
              <w:rPr>
                <w:rFonts w:hint="eastAsia"/>
                <w:b/>
                <w:bCs/>
                <w:szCs w:val="21"/>
              </w:rPr>
            </w:pPr>
            <w:r>
              <w:rPr>
                <w:rFonts w:hint="eastAsia"/>
                <w:b/>
                <w:bCs/>
                <w:szCs w:val="21"/>
              </w:rPr>
              <w:t>设备名称</w:t>
            </w:r>
          </w:p>
        </w:tc>
        <w:tc>
          <w:tcPr>
            <w:tcW w:w="1466" w:type="dxa"/>
            <w:vAlign w:val="center"/>
          </w:tcPr>
          <w:p w14:paraId="0F4A3B8C">
            <w:pPr>
              <w:spacing w:line="360" w:lineRule="auto"/>
              <w:jc w:val="center"/>
              <w:rPr>
                <w:rFonts w:hint="eastAsia"/>
                <w:b/>
                <w:bCs/>
                <w:szCs w:val="21"/>
              </w:rPr>
            </w:pPr>
            <w:r>
              <w:rPr>
                <w:rFonts w:hint="eastAsia"/>
                <w:b/>
                <w:bCs/>
                <w:szCs w:val="21"/>
              </w:rPr>
              <w:t>单位</w:t>
            </w:r>
          </w:p>
        </w:tc>
        <w:tc>
          <w:tcPr>
            <w:tcW w:w="1229" w:type="dxa"/>
            <w:vAlign w:val="center"/>
          </w:tcPr>
          <w:p w14:paraId="2DDB34F0">
            <w:pPr>
              <w:spacing w:line="360" w:lineRule="auto"/>
              <w:jc w:val="center"/>
              <w:rPr>
                <w:rFonts w:hint="eastAsia"/>
                <w:b/>
                <w:bCs/>
                <w:szCs w:val="21"/>
              </w:rPr>
            </w:pPr>
            <w:r>
              <w:rPr>
                <w:rFonts w:hint="eastAsia"/>
                <w:b/>
                <w:bCs/>
                <w:szCs w:val="21"/>
              </w:rPr>
              <w:t>数量</w:t>
            </w:r>
          </w:p>
        </w:tc>
      </w:tr>
      <w:tr w14:paraId="6645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1" w:type="dxa"/>
            <w:vAlign w:val="center"/>
          </w:tcPr>
          <w:p w14:paraId="5D555EF4">
            <w:pPr>
              <w:spacing w:line="360" w:lineRule="auto"/>
              <w:jc w:val="center"/>
              <w:rPr>
                <w:rFonts w:hint="eastAsia"/>
                <w:szCs w:val="21"/>
              </w:rPr>
            </w:pPr>
            <w:r>
              <w:rPr>
                <w:rFonts w:hint="eastAsia"/>
                <w:szCs w:val="21"/>
              </w:rPr>
              <w:t>1</w:t>
            </w:r>
          </w:p>
        </w:tc>
        <w:tc>
          <w:tcPr>
            <w:tcW w:w="3992" w:type="dxa"/>
            <w:vAlign w:val="center"/>
          </w:tcPr>
          <w:p w14:paraId="2F28AE27">
            <w:pPr>
              <w:spacing w:line="360" w:lineRule="auto"/>
              <w:jc w:val="center"/>
              <w:rPr>
                <w:rFonts w:hint="eastAsia"/>
                <w:szCs w:val="21"/>
              </w:rPr>
            </w:pPr>
            <w:r>
              <w:rPr>
                <w:rFonts w:hint="eastAsia"/>
                <w:szCs w:val="21"/>
              </w:rPr>
              <w:t>一体化强震仪（核心产品）</w:t>
            </w:r>
          </w:p>
        </w:tc>
        <w:tc>
          <w:tcPr>
            <w:tcW w:w="1466" w:type="dxa"/>
            <w:vAlign w:val="center"/>
          </w:tcPr>
          <w:p w14:paraId="46ADDD24">
            <w:pPr>
              <w:spacing w:line="360" w:lineRule="auto"/>
              <w:jc w:val="center"/>
              <w:rPr>
                <w:rFonts w:hint="eastAsia"/>
                <w:szCs w:val="21"/>
              </w:rPr>
            </w:pPr>
            <w:r>
              <w:rPr>
                <w:rFonts w:hint="eastAsia"/>
                <w:szCs w:val="21"/>
              </w:rPr>
              <w:t>套</w:t>
            </w:r>
          </w:p>
        </w:tc>
        <w:tc>
          <w:tcPr>
            <w:tcW w:w="1229" w:type="dxa"/>
            <w:vAlign w:val="center"/>
          </w:tcPr>
          <w:p w14:paraId="17099927">
            <w:pPr>
              <w:spacing w:line="360" w:lineRule="auto"/>
              <w:jc w:val="center"/>
              <w:rPr>
                <w:rFonts w:hint="eastAsia"/>
                <w:szCs w:val="21"/>
              </w:rPr>
            </w:pPr>
            <w:r>
              <w:rPr>
                <w:rFonts w:hint="eastAsia"/>
                <w:szCs w:val="21"/>
              </w:rPr>
              <w:t>3</w:t>
            </w:r>
          </w:p>
        </w:tc>
      </w:tr>
      <w:tr w14:paraId="1FEB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1" w:type="dxa"/>
            <w:vAlign w:val="center"/>
          </w:tcPr>
          <w:p w14:paraId="0840E63E">
            <w:pPr>
              <w:spacing w:line="360" w:lineRule="auto"/>
              <w:jc w:val="center"/>
              <w:rPr>
                <w:rFonts w:hint="eastAsia"/>
                <w:szCs w:val="21"/>
              </w:rPr>
            </w:pPr>
            <w:r>
              <w:rPr>
                <w:rFonts w:hint="eastAsia"/>
                <w:szCs w:val="21"/>
              </w:rPr>
              <w:t>2</w:t>
            </w:r>
          </w:p>
        </w:tc>
        <w:tc>
          <w:tcPr>
            <w:tcW w:w="3992" w:type="dxa"/>
            <w:vAlign w:val="center"/>
          </w:tcPr>
          <w:p w14:paraId="3CCD89D4">
            <w:pPr>
              <w:spacing w:line="360" w:lineRule="auto"/>
              <w:jc w:val="center"/>
              <w:rPr>
                <w:rFonts w:hint="eastAsia"/>
                <w:szCs w:val="21"/>
              </w:rPr>
            </w:pPr>
            <w:r>
              <w:rPr>
                <w:rFonts w:hint="eastAsia"/>
                <w:szCs w:val="21"/>
              </w:rPr>
              <w:t>数据集成与传输</w:t>
            </w:r>
          </w:p>
        </w:tc>
        <w:tc>
          <w:tcPr>
            <w:tcW w:w="1466" w:type="dxa"/>
            <w:vAlign w:val="center"/>
          </w:tcPr>
          <w:p w14:paraId="342D516C">
            <w:pPr>
              <w:spacing w:line="360" w:lineRule="auto"/>
              <w:jc w:val="center"/>
              <w:rPr>
                <w:rFonts w:hint="eastAsia"/>
                <w:szCs w:val="21"/>
              </w:rPr>
            </w:pPr>
            <w:r>
              <w:rPr>
                <w:rFonts w:hint="eastAsia"/>
                <w:szCs w:val="21"/>
              </w:rPr>
              <w:t>套</w:t>
            </w:r>
          </w:p>
        </w:tc>
        <w:tc>
          <w:tcPr>
            <w:tcW w:w="1229" w:type="dxa"/>
            <w:vAlign w:val="center"/>
          </w:tcPr>
          <w:p w14:paraId="49997A0B">
            <w:pPr>
              <w:spacing w:line="360" w:lineRule="auto"/>
              <w:jc w:val="center"/>
              <w:rPr>
                <w:rFonts w:hint="eastAsia"/>
                <w:szCs w:val="21"/>
              </w:rPr>
            </w:pPr>
            <w:r>
              <w:rPr>
                <w:rFonts w:hint="eastAsia"/>
                <w:szCs w:val="21"/>
              </w:rPr>
              <w:t>1</w:t>
            </w:r>
          </w:p>
        </w:tc>
      </w:tr>
      <w:tr w14:paraId="02E9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1" w:type="dxa"/>
            <w:vAlign w:val="center"/>
          </w:tcPr>
          <w:p w14:paraId="373F34FF">
            <w:pPr>
              <w:spacing w:line="360" w:lineRule="auto"/>
              <w:jc w:val="center"/>
              <w:rPr>
                <w:rFonts w:hint="eastAsia"/>
                <w:szCs w:val="21"/>
              </w:rPr>
            </w:pPr>
            <w:r>
              <w:rPr>
                <w:rFonts w:hint="eastAsia"/>
                <w:szCs w:val="21"/>
              </w:rPr>
              <w:t>3</w:t>
            </w:r>
          </w:p>
        </w:tc>
        <w:tc>
          <w:tcPr>
            <w:tcW w:w="3992" w:type="dxa"/>
            <w:vAlign w:val="center"/>
          </w:tcPr>
          <w:p w14:paraId="0EE0FCB9">
            <w:pPr>
              <w:spacing w:line="360" w:lineRule="auto"/>
              <w:jc w:val="center"/>
              <w:rPr>
                <w:rFonts w:hint="eastAsia"/>
                <w:szCs w:val="21"/>
              </w:rPr>
            </w:pPr>
            <w:r>
              <w:rPr>
                <w:rFonts w:hint="eastAsia"/>
                <w:szCs w:val="21"/>
              </w:rPr>
              <w:t>平台展示</w:t>
            </w:r>
          </w:p>
        </w:tc>
        <w:tc>
          <w:tcPr>
            <w:tcW w:w="1466" w:type="dxa"/>
            <w:vAlign w:val="center"/>
          </w:tcPr>
          <w:p w14:paraId="684BEFC4">
            <w:pPr>
              <w:spacing w:line="360" w:lineRule="auto"/>
              <w:jc w:val="center"/>
              <w:rPr>
                <w:rFonts w:hint="eastAsia"/>
                <w:szCs w:val="21"/>
              </w:rPr>
            </w:pPr>
            <w:r>
              <w:rPr>
                <w:rFonts w:hint="eastAsia"/>
                <w:szCs w:val="21"/>
              </w:rPr>
              <w:t>套</w:t>
            </w:r>
          </w:p>
        </w:tc>
        <w:tc>
          <w:tcPr>
            <w:tcW w:w="1229" w:type="dxa"/>
            <w:vAlign w:val="center"/>
          </w:tcPr>
          <w:p w14:paraId="443A12A3">
            <w:pPr>
              <w:spacing w:line="360" w:lineRule="auto"/>
              <w:jc w:val="center"/>
              <w:rPr>
                <w:rFonts w:hint="eastAsia"/>
                <w:szCs w:val="21"/>
              </w:rPr>
            </w:pPr>
            <w:r>
              <w:rPr>
                <w:rFonts w:hint="eastAsia"/>
                <w:szCs w:val="21"/>
              </w:rPr>
              <w:t>1</w:t>
            </w:r>
          </w:p>
        </w:tc>
      </w:tr>
      <w:tr w14:paraId="04BA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69" w:type="dxa"/>
            <w:gridSpan w:val="3"/>
            <w:vAlign w:val="center"/>
          </w:tcPr>
          <w:p w14:paraId="5DB586E3">
            <w:pPr>
              <w:spacing w:line="360" w:lineRule="auto"/>
              <w:jc w:val="center"/>
              <w:rPr>
                <w:rFonts w:hint="eastAsia"/>
                <w:szCs w:val="21"/>
              </w:rPr>
            </w:pPr>
            <w:r>
              <w:rPr>
                <w:rFonts w:hint="eastAsia"/>
                <w:szCs w:val="21"/>
              </w:rPr>
              <w:t>合计</w:t>
            </w:r>
          </w:p>
        </w:tc>
        <w:tc>
          <w:tcPr>
            <w:tcW w:w="1229" w:type="dxa"/>
            <w:vAlign w:val="center"/>
          </w:tcPr>
          <w:p w14:paraId="1804A1AA">
            <w:pPr>
              <w:spacing w:line="360" w:lineRule="auto"/>
              <w:jc w:val="center"/>
              <w:rPr>
                <w:rFonts w:hint="eastAsia"/>
                <w:szCs w:val="21"/>
              </w:rPr>
            </w:pPr>
            <w:r>
              <w:rPr>
                <w:rFonts w:hint="eastAsia"/>
                <w:szCs w:val="21"/>
              </w:rPr>
              <w:t>5</w:t>
            </w:r>
          </w:p>
        </w:tc>
      </w:tr>
    </w:tbl>
    <w:p w14:paraId="0904A741">
      <w:pPr>
        <w:spacing w:line="360" w:lineRule="auto"/>
        <w:ind w:firstLine="420" w:firstLineChars="200"/>
        <w:rPr>
          <w:rFonts w:hint="eastAsia"/>
          <w:szCs w:val="21"/>
        </w:rPr>
      </w:pPr>
      <w:r>
        <w:rPr>
          <w:rFonts w:hint="eastAsia"/>
          <w:szCs w:val="21"/>
        </w:rPr>
        <w:t>详细技术指标如下所示：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960"/>
        <w:gridCol w:w="5270"/>
      </w:tblGrid>
      <w:tr w14:paraId="1B8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811" w:type="dxa"/>
            <w:vAlign w:val="center"/>
          </w:tcPr>
          <w:p w14:paraId="12912F59">
            <w:pPr>
              <w:spacing w:line="360" w:lineRule="auto"/>
              <w:jc w:val="center"/>
              <w:rPr>
                <w:rFonts w:hint="eastAsia"/>
                <w:b/>
                <w:bCs/>
                <w:szCs w:val="21"/>
              </w:rPr>
            </w:pPr>
            <w:r>
              <w:rPr>
                <w:rFonts w:hint="eastAsia"/>
                <w:b/>
                <w:bCs/>
                <w:szCs w:val="21"/>
              </w:rPr>
              <w:t>序号</w:t>
            </w:r>
          </w:p>
        </w:tc>
        <w:tc>
          <w:tcPr>
            <w:tcW w:w="1960" w:type="dxa"/>
            <w:vAlign w:val="center"/>
          </w:tcPr>
          <w:p w14:paraId="66D22ECA">
            <w:pPr>
              <w:spacing w:line="360" w:lineRule="auto"/>
              <w:jc w:val="center"/>
              <w:rPr>
                <w:rFonts w:hint="eastAsia"/>
                <w:b/>
                <w:bCs/>
                <w:szCs w:val="21"/>
              </w:rPr>
            </w:pPr>
            <w:r>
              <w:rPr>
                <w:rFonts w:hint="eastAsia"/>
                <w:b/>
                <w:bCs/>
                <w:szCs w:val="21"/>
              </w:rPr>
              <w:t>产品名称</w:t>
            </w:r>
          </w:p>
        </w:tc>
        <w:tc>
          <w:tcPr>
            <w:tcW w:w="5270" w:type="dxa"/>
            <w:vAlign w:val="center"/>
          </w:tcPr>
          <w:p w14:paraId="2859E3D6">
            <w:pPr>
              <w:spacing w:line="360" w:lineRule="auto"/>
              <w:jc w:val="center"/>
              <w:rPr>
                <w:rFonts w:hint="eastAsia"/>
                <w:b/>
                <w:bCs/>
                <w:szCs w:val="21"/>
              </w:rPr>
            </w:pPr>
            <w:r>
              <w:rPr>
                <w:rFonts w:hint="eastAsia"/>
                <w:b/>
                <w:bCs/>
                <w:szCs w:val="21"/>
              </w:rPr>
              <w:t>主要技术指标</w:t>
            </w:r>
          </w:p>
        </w:tc>
      </w:tr>
      <w:tr w14:paraId="5DB2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8F1B450">
            <w:pPr>
              <w:spacing w:line="360" w:lineRule="auto"/>
              <w:jc w:val="center"/>
              <w:rPr>
                <w:rFonts w:hint="eastAsia"/>
                <w:szCs w:val="21"/>
              </w:rPr>
            </w:pPr>
            <w:r>
              <w:rPr>
                <w:rFonts w:hint="eastAsia"/>
                <w:szCs w:val="21"/>
              </w:rPr>
              <w:t>1</w:t>
            </w:r>
          </w:p>
        </w:tc>
        <w:tc>
          <w:tcPr>
            <w:tcW w:w="1960" w:type="dxa"/>
            <w:vAlign w:val="center"/>
          </w:tcPr>
          <w:p w14:paraId="3B9F0541">
            <w:pPr>
              <w:spacing w:line="360" w:lineRule="auto"/>
              <w:jc w:val="center"/>
              <w:rPr>
                <w:rFonts w:hint="eastAsia"/>
                <w:szCs w:val="21"/>
              </w:rPr>
            </w:pPr>
            <w:r>
              <w:rPr>
                <w:rFonts w:hint="eastAsia"/>
                <w:szCs w:val="21"/>
              </w:rPr>
              <w:t>一体化强震仪</w:t>
            </w:r>
          </w:p>
        </w:tc>
        <w:tc>
          <w:tcPr>
            <w:tcW w:w="5270" w:type="dxa"/>
            <w:vAlign w:val="center"/>
          </w:tcPr>
          <w:p w14:paraId="5E995E30">
            <w:pPr>
              <w:spacing w:line="360" w:lineRule="auto"/>
              <w:jc w:val="left"/>
              <w:rPr>
                <w:rFonts w:hint="eastAsia"/>
                <w:szCs w:val="21"/>
              </w:rPr>
            </w:pPr>
            <w:r>
              <w:rPr>
                <w:rFonts w:hint="eastAsia"/>
                <w:szCs w:val="21"/>
              </w:rPr>
              <w:t>灵敏度：2.5V/g</w:t>
            </w:r>
          </w:p>
          <w:p w14:paraId="3CBF2D88">
            <w:pPr>
              <w:spacing w:line="360" w:lineRule="auto"/>
              <w:jc w:val="left"/>
              <w:rPr>
                <w:rFonts w:hint="eastAsia"/>
                <w:szCs w:val="21"/>
              </w:rPr>
            </w:pPr>
            <w:r>
              <w:rPr>
                <w:rFonts w:hint="eastAsia"/>
                <w:szCs w:val="21"/>
              </w:rPr>
              <w:t>测</w:t>
            </w:r>
            <w:r>
              <w:rPr>
                <w:rFonts w:hint="eastAsia"/>
                <w:szCs w:val="21"/>
                <w:highlight w:val="none"/>
              </w:rPr>
              <w:t>量范围：±2.0g（范围可能不够，至少5个G，考虑风和重型车辆影响）</w:t>
            </w:r>
          </w:p>
          <w:p w14:paraId="0D4288EF">
            <w:pPr>
              <w:spacing w:line="360" w:lineRule="auto"/>
              <w:jc w:val="left"/>
              <w:rPr>
                <w:rFonts w:hint="eastAsia"/>
                <w:szCs w:val="21"/>
              </w:rPr>
            </w:pPr>
            <w:r>
              <w:rPr>
                <w:rFonts w:hint="eastAsia"/>
                <w:szCs w:val="21"/>
              </w:rPr>
              <w:t>测量方向：三向</w:t>
            </w:r>
          </w:p>
          <w:p w14:paraId="4C8BFA16">
            <w:pPr>
              <w:spacing w:line="360" w:lineRule="auto"/>
              <w:jc w:val="left"/>
              <w:rPr>
                <w:rFonts w:hint="eastAsia"/>
                <w:szCs w:val="21"/>
              </w:rPr>
            </w:pPr>
            <w:r>
              <w:rPr>
                <w:rFonts w:hint="eastAsia"/>
                <w:szCs w:val="21"/>
              </w:rPr>
              <w:t>频响范围：0～80Hz</w:t>
            </w:r>
          </w:p>
          <w:p w14:paraId="3105FFDA">
            <w:pPr>
              <w:spacing w:line="360" w:lineRule="auto"/>
              <w:jc w:val="left"/>
              <w:rPr>
                <w:rFonts w:hint="eastAsia"/>
                <w:szCs w:val="21"/>
              </w:rPr>
            </w:pPr>
            <w:r>
              <w:rPr>
                <w:rFonts w:hint="eastAsia"/>
                <w:szCs w:val="21"/>
              </w:rPr>
              <w:t>动态范围：130dB</w:t>
            </w:r>
          </w:p>
          <w:p w14:paraId="4E350A36">
            <w:pPr>
              <w:spacing w:line="360" w:lineRule="auto"/>
              <w:jc w:val="left"/>
              <w:rPr>
                <w:rFonts w:hint="eastAsia"/>
                <w:szCs w:val="21"/>
              </w:rPr>
            </w:pPr>
            <w:r>
              <w:rPr>
                <w:rFonts w:hint="eastAsia"/>
                <w:szCs w:val="21"/>
              </w:rPr>
              <w:t>线性度：优于1%</w:t>
            </w:r>
          </w:p>
          <w:p w14:paraId="63D5A669">
            <w:pPr>
              <w:spacing w:line="360" w:lineRule="auto"/>
              <w:jc w:val="left"/>
              <w:rPr>
                <w:rFonts w:hint="eastAsia"/>
                <w:szCs w:val="21"/>
              </w:rPr>
            </w:pPr>
            <w:r>
              <w:rPr>
                <w:rFonts w:hint="eastAsia"/>
                <w:szCs w:val="21"/>
              </w:rPr>
              <w:t>电压测量范围：±20V、±10V、±5V、±2.5V、±1.25V</w:t>
            </w:r>
          </w:p>
          <w:p w14:paraId="165E0076">
            <w:pPr>
              <w:spacing w:line="360" w:lineRule="auto"/>
              <w:jc w:val="left"/>
              <w:rPr>
                <w:rFonts w:hint="eastAsia"/>
                <w:szCs w:val="21"/>
              </w:rPr>
            </w:pPr>
            <w:r>
              <w:rPr>
                <w:rFonts w:hint="eastAsia"/>
                <w:szCs w:val="21"/>
              </w:rPr>
              <w:t>信号类型：差动输入</w:t>
            </w:r>
          </w:p>
          <w:p w14:paraId="2F445B14">
            <w:pPr>
              <w:spacing w:line="360" w:lineRule="auto"/>
              <w:jc w:val="left"/>
              <w:rPr>
                <w:rFonts w:hint="eastAsia"/>
                <w:szCs w:val="21"/>
              </w:rPr>
            </w:pPr>
            <w:r>
              <w:rPr>
                <w:rFonts w:hint="eastAsia"/>
                <w:szCs w:val="21"/>
              </w:rPr>
              <w:t>测量通道：三通道同步采样</w:t>
            </w:r>
          </w:p>
          <w:p w14:paraId="6C66C82F">
            <w:pPr>
              <w:spacing w:line="360" w:lineRule="auto"/>
              <w:jc w:val="left"/>
              <w:rPr>
                <w:rFonts w:hint="eastAsia"/>
                <w:szCs w:val="21"/>
              </w:rPr>
            </w:pPr>
            <w:r>
              <w:rPr>
                <w:rFonts w:hint="eastAsia"/>
                <w:szCs w:val="21"/>
              </w:rPr>
              <w:t>模数转换：32位</w:t>
            </w:r>
          </w:p>
          <w:p w14:paraId="3E1A9C93">
            <w:pPr>
              <w:spacing w:line="360" w:lineRule="auto"/>
              <w:jc w:val="left"/>
              <w:rPr>
                <w:rFonts w:hint="eastAsia"/>
                <w:szCs w:val="21"/>
              </w:rPr>
            </w:pPr>
            <w:r>
              <w:rPr>
                <w:rFonts w:hint="eastAsia"/>
                <w:szCs w:val="21"/>
              </w:rPr>
              <w:t>采样频率：1、5、10、50、100、200、400、1200Hz可选</w:t>
            </w:r>
          </w:p>
          <w:p w14:paraId="1DF583A7">
            <w:pPr>
              <w:spacing w:line="360" w:lineRule="auto"/>
              <w:jc w:val="left"/>
              <w:rPr>
                <w:rFonts w:hint="eastAsia"/>
                <w:szCs w:val="21"/>
              </w:rPr>
            </w:pPr>
            <w:r>
              <w:rPr>
                <w:rFonts w:hint="eastAsia"/>
                <w:szCs w:val="21"/>
              </w:rPr>
              <w:t>通信接口：RJ45</w:t>
            </w:r>
          </w:p>
          <w:p w14:paraId="6EC865BF">
            <w:pPr>
              <w:spacing w:line="360" w:lineRule="auto"/>
              <w:jc w:val="left"/>
              <w:rPr>
                <w:rFonts w:hint="eastAsia"/>
                <w:szCs w:val="21"/>
              </w:rPr>
            </w:pPr>
            <w:r>
              <w:rPr>
                <w:rFonts w:hint="eastAsia"/>
                <w:szCs w:val="21"/>
              </w:rPr>
              <w:t>存储模式：连续记录、触发记录两种可选</w:t>
            </w:r>
          </w:p>
          <w:p w14:paraId="18F4468D">
            <w:pPr>
              <w:spacing w:line="360" w:lineRule="auto"/>
              <w:jc w:val="left"/>
              <w:rPr>
                <w:rFonts w:hint="eastAsia"/>
                <w:szCs w:val="21"/>
              </w:rPr>
            </w:pPr>
            <w:r>
              <w:rPr>
                <w:rFonts w:hint="eastAsia"/>
                <w:szCs w:val="21"/>
              </w:rPr>
              <w:t>内存：128GB</w:t>
            </w:r>
          </w:p>
          <w:p w14:paraId="6E4353EE">
            <w:pPr>
              <w:spacing w:line="360" w:lineRule="auto"/>
              <w:jc w:val="left"/>
              <w:rPr>
                <w:rFonts w:hint="eastAsia"/>
                <w:szCs w:val="21"/>
              </w:rPr>
            </w:pPr>
            <w:r>
              <w:rPr>
                <w:rFonts w:hint="eastAsia"/>
                <w:szCs w:val="21"/>
              </w:rPr>
              <w:t>电源：DC12V或 AC220V</w:t>
            </w:r>
          </w:p>
          <w:p w14:paraId="27F7C0F5">
            <w:pPr>
              <w:spacing w:line="360" w:lineRule="auto"/>
              <w:jc w:val="left"/>
              <w:rPr>
                <w:rFonts w:hint="eastAsia"/>
                <w:szCs w:val="21"/>
              </w:rPr>
            </w:pPr>
            <w:r>
              <w:rPr>
                <w:rFonts w:hint="eastAsia"/>
                <w:szCs w:val="21"/>
              </w:rPr>
              <w:t>工作环境：-20℃～60℃，10%～98%RH</w:t>
            </w:r>
          </w:p>
          <w:p w14:paraId="66B23544">
            <w:pPr>
              <w:spacing w:line="360" w:lineRule="auto"/>
              <w:jc w:val="left"/>
              <w:rPr>
                <w:rFonts w:hint="eastAsia"/>
                <w:szCs w:val="21"/>
              </w:rPr>
            </w:pPr>
            <w:r>
              <w:rPr>
                <w:rFonts w:hint="eastAsia"/>
                <w:szCs w:val="21"/>
              </w:rPr>
              <w:t>计量校准：提供有效的第三方检测报告</w:t>
            </w:r>
          </w:p>
        </w:tc>
      </w:tr>
      <w:tr w14:paraId="1B9F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1" w:type="dxa"/>
            <w:vAlign w:val="center"/>
          </w:tcPr>
          <w:p w14:paraId="217546B5">
            <w:pPr>
              <w:spacing w:line="360" w:lineRule="auto"/>
              <w:jc w:val="center"/>
              <w:rPr>
                <w:rFonts w:hint="eastAsia"/>
                <w:szCs w:val="21"/>
              </w:rPr>
            </w:pPr>
            <w:r>
              <w:rPr>
                <w:rFonts w:hint="eastAsia"/>
                <w:szCs w:val="21"/>
              </w:rPr>
              <w:t>2</w:t>
            </w:r>
          </w:p>
        </w:tc>
        <w:tc>
          <w:tcPr>
            <w:tcW w:w="1960" w:type="dxa"/>
            <w:vAlign w:val="center"/>
          </w:tcPr>
          <w:p w14:paraId="2B264534">
            <w:pPr>
              <w:spacing w:line="360" w:lineRule="auto"/>
              <w:jc w:val="center"/>
              <w:rPr>
                <w:rFonts w:hint="eastAsia"/>
                <w:szCs w:val="21"/>
              </w:rPr>
            </w:pPr>
            <w:r>
              <w:rPr>
                <w:rFonts w:hint="eastAsia"/>
                <w:szCs w:val="21"/>
              </w:rPr>
              <w:t>数据集成与传输</w:t>
            </w:r>
          </w:p>
        </w:tc>
        <w:tc>
          <w:tcPr>
            <w:tcW w:w="5270" w:type="dxa"/>
            <w:vAlign w:val="center"/>
          </w:tcPr>
          <w:p w14:paraId="76399F40">
            <w:pPr>
              <w:spacing w:line="360" w:lineRule="auto"/>
              <w:jc w:val="left"/>
              <w:rPr>
                <w:rFonts w:hint="eastAsia"/>
                <w:szCs w:val="21"/>
              </w:rPr>
            </w:pPr>
            <w:r>
              <w:rPr>
                <w:rFonts w:hint="eastAsia"/>
                <w:szCs w:val="21"/>
              </w:rPr>
              <w:t>满足系统数据集成与传输需求</w:t>
            </w:r>
          </w:p>
        </w:tc>
      </w:tr>
      <w:tr w14:paraId="611A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11" w:type="dxa"/>
            <w:vAlign w:val="center"/>
          </w:tcPr>
          <w:p w14:paraId="475034A6">
            <w:pPr>
              <w:spacing w:line="360" w:lineRule="auto"/>
              <w:jc w:val="center"/>
              <w:rPr>
                <w:rFonts w:hint="eastAsia"/>
                <w:szCs w:val="21"/>
              </w:rPr>
            </w:pPr>
            <w:r>
              <w:rPr>
                <w:rFonts w:hint="eastAsia"/>
                <w:szCs w:val="21"/>
              </w:rPr>
              <w:t>3</w:t>
            </w:r>
          </w:p>
        </w:tc>
        <w:tc>
          <w:tcPr>
            <w:tcW w:w="1960" w:type="dxa"/>
            <w:vAlign w:val="center"/>
          </w:tcPr>
          <w:p w14:paraId="6B00A329">
            <w:pPr>
              <w:spacing w:line="360" w:lineRule="auto"/>
              <w:jc w:val="center"/>
              <w:rPr>
                <w:rFonts w:hint="eastAsia"/>
                <w:szCs w:val="21"/>
              </w:rPr>
            </w:pPr>
            <w:r>
              <w:rPr>
                <w:rFonts w:hint="eastAsia"/>
                <w:szCs w:val="21"/>
              </w:rPr>
              <w:t>平台展示</w:t>
            </w:r>
          </w:p>
        </w:tc>
        <w:tc>
          <w:tcPr>
            <w:tcW w:w="5270" w:type="dxa"/>
            <w:vAlign w:val="center"/>
          </w:tcPr>
          <w:p w14:paraId="12805A74">
            <w:pPr>
              <w:spacing w:line="360" w:lineRule="auto"/>
              <w:jc w:val="left"/>
              <w:rPr>
                <w:rFonts w:hint="eastAsia"/>
                <w:szCs w:val="21"/>
              </w:rPr>
            </w:pPr>
            <w:r>
              <w:rPr>
                <w:rFonts w:hint="eastAsia"/>
                <w:szCs w:val="21"/>
              </w:rPr>
              <w:t>满足重大工程健康监测和诊断平台展示需求</w:t>
            </w:r>
          </w:p>
        </w:tc>
      </w:tr>
    </w:tbl>
    <w:p w14:paraId="5A3817C7">
      <w:pPr>
        <w:spacing w:line="360" w:lineRule="auto"/>
        <w:jc w:val="center"/>
        <w:rPr>
          <w:rFonts w:hint="eastAsia"/>
          <w:szCs w:val="21"/>
        </w:rPr>
      </w:pPr>
    </w:p>
    <w:p w14:paraId="34F51585">
      <w:pPr>
        <w:pStyle w:val="4"/>
        <w:ind w:firstLine="422" w:firstLineChars="200"/>
        <w:rPr>
          <w:rFonts w:hint="eastAsia"/>
        </w:rPr>
      </w:pPr>
      <w:bookmarkStart w:id="767" w:name="_Toc31267"/>
      <w:r>
        <w:rPr>
          <w:rFonts w:hint="eastAsia"/>
        </w:rPr>
        <w:t>2、省道304濮阳白堽黄河公路大桥监测系统建设</w:t>
      </w:r>
      <w:bookmarkEnd w:id="767"/>
    </w:p>
    <w:p w14:paraId="39475C32">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（1）桥梁概况</w:t>
      </w:r>
    </w:p>
    <w:p w14:paraId="01A8AB95">
      <w:pPr>
        <w:spacing w:line="360" w:lineRule="auto"/>
        <w:ind w:firstLine="420" w:firstLineChars="200"/>
        <w:rPr>
          <w:rFonts w:hint="eastAsia"/>
          <w:szCs w:val="21"/>
        </w:rPr>
      </w:pPr>
      <w:r>
        <w:rPr>
          <w:rFonts w:hint="eastAsia"/>
          <w:szCs w:val="21"/>
        </w:rPr>
        <w:t>省道304濮阳白堽黄河公路大桥作为豫鲁两省重点工程项目，对于纵深推进黄河流域生态保护和高质量发展重大国家战略，深化鲁豫毗邻地区交流合作具有重要意义。S304黄河公路大桥西岸起点位于濮阳县白堽乡东南侧，东岸终点落于鄄城县董口镇南侧，桥梁全长9641米，全宽2×16.31m，起点桩号K3+495.5，中心桩号K8+316，终点桩号K13+136.5，由西堤外引桥、西跨大堤桥、西堤内引桥、</w:t>
      </w:r>
      <w:r>
        <w:rPr>
          <w:rFonts w:hint="eastAsia"/>
          <w:b/>
          <w:bCs/>
          <w:szCs w:val="21"/>
        </w:rPr>
        <w:t>主桥</w:t>
      </w:r>
      <w:r>
        <w:rPr>
          <w:rFonts w:hint="eastAsia"/>
          <w:szCs w:val="21"/>
        </w:rPr>
        <w:t>、东堤内引桥、东跨大堤桥、东堤外引桥七部分组成，全桥共分43联。其中主桥部分全长2000米，由（80+8×120+80）、（80+6×120+80）m两联预应力混凝土连续箱梁组成。</w:t>
      </w:r>
    </w:p>
    <w:p w14:paraId="3ECB1632">
      <w:pPr>
        <w:spacing w:line="360" w:lineRule="auto"/>
        <w:ind w:firstLine="420" w:firstLineChars="200"/>
        <w:rPr>
          <w:rFonts w:hint="eastAsia"/>
          <w:szCs w:val="21"/>
        </w:rPr>
      </w:pPr>
      <w:r>
        <w:rPr>
          <w:rFonts w:hint="eastAsia"/>
          <w:szCs w:val="21"/>
        </w:rPr>
        <w:t>本项目濮阳白堽黄河公路大桥监测系统计划针对主桥部分开展系统建设工作。</w:t>
      </w:r>
    </w:p>
    <w:p w14:paraId="101F564F">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（2）监测内容</w:t>
      </w:r>
    </w:p>
    <w:p w14:paraId="1D3EC0FC">
      <w:pPr>
        <w:spacing w:line="360" w:lineRule="auto"/>
        <w:ind w:firstLine="420" w:firstLineChars="200"/>
        <w:rPr>
          <w:rFonts w:hint="eastAsia"/>
          <w:szCs w:val="21"/>
        </w:rPr>
      </w:pPr>
      <w:r>
        <w:rPr>
          <w:rFonts w:hint="eastAsia"/>
          <w:szCs w:val="21"/>
        </w:rPr>
        <w:t>根据国家及行业现行规范/标准并结合本次河南省重大工程健康监测和诊断工程建设需求，濮阳黄河公路大桥监测系统涉及监测内容如下：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3346"/>
        <w:gridCol w:w="1581"/>
      </w:tblGrid>
      <w:tr w14:paraId="1AE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0B7E4470">
            <w:pPr>
              <w:spacing w:line="360" w:lineRule="auto"/>
              <w:jc w:val="center"/>
              <w:rPr>
                <w:rFonts w:hint="eastAsia"/>
                <w:b/>
                <w:bCs/>
                <w:szCs w:val="21"/>
              </w:rPr>
            </w:pPr>
            <w:r>
              <w:rPr>
                <w:rFonts w:hint="eastAsia"/>
                <w:b/>
                <w:bCs/>
                <w:szCs w:val="21"/>
              </w:rPr>
              <w:t>序号</w:t>
            </w:r>
          </w:p>
        </w:tc>
        <w:tc>
          <w:tcPr>
            <w:tcW w:w="3346" w:type="dxa"/>
            <w:vAlign w:val="center"/>
          </w:tcPr>
          <w:p w14:paraId="06143BB5">
            <w:pPr>
              <w:spacing w:line="360" w:lineRule="auto"/>
              <w:jc w:val="center"/>
              <w:rPr>
                <w:rFonts w:hint="eastAsia"/>
                <w:b/>
                <w:bCs/>
                <w:szCs w:val="21"/>
              </w:rPr>
            </w:pPr>
            <w:r>
              <w:rPr>
                <w:rFonts w:hint="eastAsia"/>
                <w:b/>
                <w:bCs/>
                <w:szCs w:val="21"/>
              </w:rPr>
              <w:t>监测内容</w:t>
            </w:r>
          </w:p>
        </w:tc>
        <w:tc>
          <w:tcPr>
            <w:tcW w:w="1581" w:type="dxa"/>
            <w:vAlign w:val="center"/>
          </w:tcPr>
          <w:p w14:paraId="51433903">
            <w:pPr>
              <w:spacing w:line="360" w:lineRule="auto"/>
              <w:jc w:val="center"/>
              <w:rPr>
                <w:rFonts w:hint="eastAsia"/>
                <w:b/>
                <w:bCs/>
                <w:szCs w:val="21"/>
              </w:rPr>
            </w:pPr>
            <w:r>
              <w:rPr>
                <w:rFonts w:hint="eastAsia"/>
                <w:b/>
                <w:bCs/>
                <w:szCs w:val="21"/>
              </w:rPr>
              <w:t>备注</w:t>
            </w:r>
          </w:p>
        </w:tc>
      </w:tr>
      <w:tr w14:paraId="333B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60B93BA5">
            <w:pPr>
              <w:spacing w:line="360" w:lineRule="auto"/>
              <w:jc w:val="center"/>
              <w:rPr>
                <w:rFonts w:hint="eastAsia"/>
                <w:szCs w:val="21"/>
              </w:rPr>
            </w:pPr>
            <w:r>
              <w:rPr>
                <w:rFonts w:hint="eastAsia"/>
                <w:szCs w:val="21"/>
              </w:rPr>
              <w:t>1</w:t>
            </w:r>
          </w:p>
        </w:tc>
        <w:tc>
          <w:tcPr>
            <w:tcW w:w="3346" w:type="dxa"/>
            <w:vAlign w:val="center"/>
          </w:tcPr>
          <w:p w14:paraId="3D3215D0">
            <w:pPr>
              <w:spacing w:line="360" w:lineRule="auto"/>
              <w:jc w:val="center"/>
              <w:rPr>
                <w:rFonts w:hint="eastAsia"/>
                <w:szCs w:val="21"/>
              </w:rPr>
            </w:pPr>
            <w:r>
              <w:rPr>
                <w:rFonts w:hint="eastAsia"/>
                <w:szCs w:val="21"/>
              </w:rPr>
              <w:t>温湿度</w:t>
            </w:r>
          </w:p>
        </w:tc>
        <w:tc>
          <w:tcPr>
            <w:tcW w:w="1581" w:type="dxa"/>
            <w:vAlign w:val="center"/>
          </w:tcPr>
          <w:p w14:paraId="457BA37B">
            <w:pPr>
              <w:spacing w:line="360" w:lineRule="auto"/>
              <w:jc w:val="center"/>
              <w:rPr>
                <w:rFonts w:hint="eastAsia"/>
                <w:szCs w:val="21"/>
              </w:rPr>
            </w:pPr>
          </w:p>
        </w:tc>
      </w:tr>
      <w:tr w14:paraId="3876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0AE31D03">
            <w:pPr>
              <w:spacing w:line="360" w:lineRule="auto"/>
              <w:jc w:val="center"/>
              <w:rPr>
                <w:rFonts w:hint="eastAsia"/>
                <w:szCs w:val="21"/>
              </w:rPr>
            </w:pPr>
            <w:r>
              <w:rPr>
                <w:rFonts w:hint="eastAsia"/>
                <w:szCs w:val="21"/>
              </w:rPr>
              <w:t>2</w:t>
            </w:r>
          </w:p>
        </w:tc>
        <w:tc>
          <w:tcPr>
            <w:tcW w:w="3346" w:type="dxa"/>
            <w:vAlign w:val="center"/>
          </w:tcPr>
          <w:p w14:paraId="45DCBBB4">
            <w:pPr>
              <w:spacing w:line="360" w:lineRule="auto"/>
              <w:jc w:val="center"/>
              <w:rPr>
                <w:rFonts w:hint="eastAsia"/>
                <w:szCs w:val="21"/>
              </w:rPr>
            </w:pPr>
            <w:r>
              <w:rPr>
                <w:rFonts w:hint="eastAsia"/>
                <w:szCs w:val="21"/>
              </w:rPr>
              <w:t>降雨量</w:t>
            </w:r>
          </w:p>
        </w:tc>
        <w:tc>
          <w:tcPr>
            <w:tcW w:w="1581" w:type="dxa"/>
            <w:vAlign w:val="center"/>
          </w:tcPr>
          <w:p w14:paraId="4019CA66">
            <w:pPr>
              <w:spacing w:line="360" w:lineRule="auto"/>
              <w:jc w:val="center"/>
              <w:rPr>
                <w:rFonts w:hint="eastAsia"/>
                <w:szCs w:val="21"/>
              </w:rPr>
            </w:pPr>
          </w:p>
        </w:tc>
      </w:tr>
      <w:tr w14:paraId="727C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3373B248">
            <w:pPr>
              <w:spacing w:line="360" w:lineRule="auto"/>
              <w:jc w:val="center"/>
              <w:rPr>
                <w:rFonts w:hint="eastAsia"/>
                <w:szCs w:val="21"/>
              </w:rPr>
            </w:pPr>
            <w:r>
              <w:rPr>
                <w:rFonts w:hint="eastAsia"/>
                <w:szCs w:val="21"/>
              </w:rPr>
              <w:t>3</w:t>
            </w:r>
          </w:p>
        </w:tc>
        <w:tc>
          <w:tcPr>
            <w:tcW w:w="3346" w:type="dxa"/>
            <w:vAlign w:val="center"/>
          </w:tcPr>
          <w:p w14:paraId="788B44DA">
            <w:pPr>
              <w:spacing w:line="360" w:lineRule="auto"/>
              <w:jc w:val="center"/>
              <w:rPr>
                <w:rFonts w:hint="eastAsia"/>
                <w:szCs w:val="21"/>
              </w:rPr>
            </w:pPr>
            <w:r>
              <w:rPr>
                <w:rFonts w:hint="eastAsia"/>
                <w:szCs w:val="21"/>
              </w:rPr>
              <w:t>强震动</w:t>
            </w:r>
          </w:p>
        </w:tc>
        <w:tc>
          <w:tcPr>
            <w:tcW w:w="1581" w:type="dxa"/>
            <w:vAlign w:val="center"/>
          </w:tcPr>
          <w:p w14:paraId="11DD5117">
            <w:pPr>
              <w:spacing w:line="360" w:lineRule="auto"/>
              <w:jc w:val="center"/>
              <w:rPr>
                <w:rFonts w:hint="eastAsia"/>
                <w:szCs w:val="21"/>
              </w:rPr>
            </w:pPr>
          </w:p>
        </w:tc>
      </w:tr>
      <w:tr w14:paraId="0EF1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30A3C0D8">
            <w:pPr>
              <w:spacing w:line="360" w:lineRule="auto"/>
              <w:jc w:val="center"/>
              <w:rPr>
                <w:rFonts w:hint="eastAsia"/>
                <w:szCs w:val="21"/>
              </w:rPr>
            </w:pPr>
            <w:r>
              <w:rPr>
                <w:rFonts w:hint="eastAsia"/>
                <w:szCs w:val="21"/>
              </w:rPr>
              <w:t>4</w:t>
            </w:r>
          </w:p>
        </w:tc>
        <w:tc>
          <w:tcPr>
            <w:tcW w:w="3346" w:type="dxa"/>
            <w:vAlign w:val="center"/>
          </w:tcPr>
          <w:p w14:paraId="1529F204">
            <w:pPr>
              <w:spacing w:line="360" w:lineRule="auto"/>
              <w:jc w:val="center"/>
              <w:rPr>
                <w:rFonts w:hint="eastAsia"/>
                <w:szCs w:val="21"/>
              </w:rPr>
            </w:pPr>
            <w:r>
              <w:rPr>
                <w:rFonts w:hint="eastAsia"/>
                <w:szCs w:val="21"/>
              </w:rPr>
              <w:t>风速风向</w:t>
            </w:r>
          </w:p>
        </w:tc>
        <w:tc>
          <w:tcPr>
            <w:tcW w:w="1581" w:type="dxa"/>
            <w:vAlign w:val="center"/>
          </w:tcPr>
          <w:p w14:paraId="05364B3D">
            <w:pPr>
              <w:spacing w:line="360" w:lineRule="auto"/>
              <w:jc w:val="center"/>
              <w:rPr>
                <w:rFonts w:hint="eastAsia"/>
                <w:szCs w:val="21"/>
              </w:rPr>
            </w:pPr>
          </w:p>
        </w:tc>
      </w:tr>
      <w:tr w14:paraId="68E8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520F7C1C">
            <w:pPr>
              <w:spacing w:line="360" w:lineRule="auto"/>
              <w:jc w:val="center"/>
              <w:rPr>
                <w:rFonts w:hint="eastAsia"/>
                <w:szCs w:val="21"/>
              </w:rPr>
            </w:pPr>
            <w:r>
              <w:rPr>
                <w:rFonts w:hint="eastAsia"/>
                <w:szCs w:val="21"/>
              </w:rPr>
              <w:t>5</w:t>
            </w:r>
          </w:p>
        </w:tc>
        <w:tc>
          <w:tcPr>
            <w:tcW w:w="3346" w:type="dxa"/>
            <w:vAlign w:val="center"/>
          </w:tcPr>
          <w:p w14:paraId="37192533">
            <w:pPr>
              <w:spacing w:line="360" w:lineRule="auto"/>
              <w:jc w:val="center"/>
              <w:rPr>
                <w:rFonts w:hint="eastAsia"/>
                <w:szCs w:val="21"/>
              </w:rPr>
            </w:pPr>
            <w:r>
              <w:rPr>
                <w:rFonts w:hint="eastAsia"/>
                <w:szCs w:val="21"/>
              </w:rPr>
              <w:t>视频监控</w:t>
            </w:r>
          </w:p>
        </w:tc>
        <w:tc>
          <w:tcPr>
            <w:tcW w:w="1581" w:type="dxa"/>
            <w:vAlign w:val="center"/>
          </w:tcPr>
          <w:p w14:paraId="5AB4E600">
            <w:pPr>
              <w:spacing w:line="360" w:lineRule="auto"/>
              <w:jc w:val="center"/>
              <w:rPr>
                <w:rFonts w:hint="eastAsia"/>
                <w:szCs w:val="21"/>
              </w:rPr>
            </w:pPr>
          </w:p>
        </w:tc>
      </w:tr>
      <w:tr w14:paraId="6C9B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375D2F59">
            <w:pPr>
              <w:spacing w:line="360" w:lineRule="auto"/>
              <w:jc w:val="center"/>
              <w:rPr>
                <w:rFonts w:hint="eastAsia"/>
                <w:szCs w:val="21"/>
              </w:rPr>
            </w:pPr>
            <w:r>
              <w:rPr>
                <w:rFonts w:hint="eastAsia"/>
                <w:szCs w:val="21"/>
              </w:rPr>
              <w:t>6</w:t>
            </w:r>
          </w:p>
        </w:tc>
        <w:tc>
          <w:tcPr>
            <w:tcW w:w="3346" w:type="dxa"/>
            <w:vAlign w:val="center"/>
          </w:tcPr>
          <w:p w14:paraId="0CEE2F18">
            <w:pPr>
              <w:spacing w:line="360" w:lineRule="auto"/>
              <w:jc w:val="center"/>
              <w:rPr>
                <w:rFonts w:hint="eastAsia"/>
                <w:szCs w:val="21"/>
              </w:rPr>
            </w:pPr>
            <w:r>
              <w:rPr>
                <w:rFonts w:hint="eastAsia"/>
                <w:szCs w:val="21"/>
              </w:rPr>
              <w:t>结构温度</w:t>
            </w:r>
          </w:p>
        </w:tc>
        <w:tc>
          <w:tcPr>
            <w:tcW w:w="1581" w:type="dxa"/>
            <w:vAlign w:val="center"/>
          </w:tcPr>
          <w:p w14:paraId="28916351">
            <w:pPr>
              <w:spacing w:line="360" w:lineRule="auto"/>
              <w:jc w:val="center"/>
              <w:rPr>
                <w:rFonts w:hint="eastAsia"/>
                <w:szCs w:val="21"/>
              </w:rPr>
            </w:pPr>
          </w:p>
        </w:tc>
      </w:tr>
      <w:tr w14:paraId="21C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34AEF51E">
            <w:pPr>
              <w:spacing w:line="360" w:lineRule="auto"/>
              <w:jc w:val="center"/>
              <w:rPr>
                <w:rFonts w:hint="eastAsia"/>
                <w:szCs w:val="21"/>
              </w:rPr>
            </w:pPr>
            <w:r>
              <w:rPr>
                <w:rFonts w:hint="eastAsia"/>
                <w:szCs w:val="21"/>
              </w:rPr>
              <w:t>7</w:t>
            </w:r>
          </w:p>
        </w:tc>
        <w:tc>
          <w:tcPr>
            <w:tcW w:w="3346" w:type="dxa"/>
            <w:vAlign w:val="center"/>
          </w:tcPr>
          <w:p w14:paraId="36FE62BB">
            <w:pPr>
              <w:spacing w:line="360" w:lineRule="auto"/>
              <w:jc w:val="center"/>
              <w:rPr>
                <w:rFonts w:hint="eastAsia"/>
                <w:szCs w:val="21"/>
              </w:rPr>
            </w:pPr>
            <w:r>
              <w:rPr>
                <w:rFonts w:hint="eastAsia"/>
                <w:szCs w:val="21"/>
              </w:rPr>
              <w:t>关键截面应变</w:t>
            </w:r>
          </w:p>
        </w:tc>
        <w:tc>
          <w:tcPr>
            <w:tcW w:w="1581" w:type="dxa"/>
            <w:vAlign w:val="center"/>
          </w:tcPr>
          <w:p w14:paraId="581E69D0">
            <w:pPr>
              <w:spacing w:line="360" w:lineRule="auto"/>
              <w:jc w:val="center"/>
              <w:rPr>
                <w:rFonts w:hint="eastAsia"/>
                <w:szCs w:val="21"/>
              </w:rPr>
            </w:pPr>
          </w:p>
        </w:tc>
      </w:tr>
      <w:tr w14:paraId="2081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7DCD3C9F">
            <w:pPr>
              <w:spacing w:line="360" w:lineRule="auto"/>
              <w:jc w:val="center"/>
              <w:rPr>
                <w:rFonts w:hint="eastAsia"/>
                <w:szCs w:val="21"/>
              </w:rPr>
            </w:pPr>
            <w:r>
              <w:rPr>
                <w:rFonts w:hint="eastAsia"/>
                <w:szCs w:val="21"/>
              </w:rPr>
              <w:t>8</w:t>
            </w:r>
          </w:p>
        </w:tc>
        <w:tc>
          <w:tcPr>
            <w:tcW w:w="3346" w:type="dxa"/>
            <w:vAlign w:val="center"/>
          </w:tcPr>
          <w:p w14:paraId="459B9147">
            <w:pPr>
              <w:spacing w:line="360" w:lineRule="auto"/>
              <w:jc w:val="center"/>
              <w:rPr>
                <w:rFonts w:hint="eastAsia"/>
                <w:szCs w:val="21"/>
              </w:rPr>
            </w:pPr>
            <w:r>
              <w:rPr>
                <w:rFonts w:hint="eastAsia"/>
                <w:szCs w:val="21"/>
              </w:rPr>
              <w:t>主梁竖向位移</w:t>
            </w:r>
          </w:p>
        </w:tc>
        <w:tc>
          <w:tcPr>
            <w:tcW w:w="1581" w:type="dxa"/>
            <w:vAlign w:val="center"/>
          </w:tcPr>
          <w:p w14:paraId="7C2131D2">
            <w:pPr>
              <w:spacing w:line="360" w:lineRule="auto"/>
              <w:jc w:val="center"/>
              <w:rPr>
                <w:rFonts w:hint="eastAsia"/>
                <w:szCs w:val="21"/>
              </w:rPr>
            </w:pPr>
          </w:p>
        </w:tc>
      </w:tr>
      <w:tr w14:paraId="6C6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2" w:type="dxa"/>
            <w:vAlign w:val="center"/>
          </w:tcPr>
          <w:p w14:paraId="1B9E55BA">
            <w:pPr>
              <w:spacing w:line="360" w:lineRule="auto"/>
              <w:jc w:val="center"/>
              <w:rPr>
                <w:rFonts w:hint="eastAsia"/>
                <w:szCs w:val="21"/>
              </w:rPr>
            </w:pPr>
            <w:r>
              <w:rPr>
                <w:rFonts w:hint="eastAsia"/>
                <w:szCs w:val="21"/>
              </w:rPr>
              <w:t>9</w:t>
            </w:r>
          </w:p>
        </w:tc>
        <w:tc>
          <w:tcPr>
            <w:tcW w:w="3346" w:type="dxa"/>
            <w:vAlign w:val="center"/>
          </w:tcPr>
          <w:p w14:paraId="244B73F9">
            <w:pPr>
              <w:spacing w:line="360" w:lineRule="auto"/>
              <w:jc w:val="center"/>
              <w:rPr>
                <w:rFonts w:hint="eastAsia"/>
                <w:szCs w:val="21"/>
              </w:rPr>
            </w:pPr>
            <w:r>
              <w:rPr>
                <w:rFonts w:hint="eastAsia"/>
                <w:szCs w:val="21"/>
              </w:rPr>
              <w:t>空间变位</w:t>
            </w:r>
          </w:p>
        </w:tc>
        <w:tc>
          <w:tcPr>
            <w:tcW w:w="1581" w:type="dxa"/>
            <w:vAlign w:val="center"/>
          </w:tcPr>
          <w:p w14:paraId="7DACE228">
            <w:pPr>
              <w:spacing w:line="360" w:lineRule="auto"/>
              <w:jc w:val="center"/>
              <w:rPr>
                <w:rFonts w:hint="eastAsia"/>
                <w:szCs w:val="21"/>
              </w:rPr>
            </w:pPr>
          </w:p>
        </w:tc>
      </w:tr>
      <w:tr w14:paraId="52E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72" w:type="dxa"/>
            <w:vAlign w:val="center"/>
          </w:tcPr>
          <w:p w14:paraId="30E78FA2">
            <w:pPr>
              <w:spacing w:line="360" w:lineRule="auto"/>
              <w:jc w:val="center"/>
              <w:rPr>
                <w:rFonts w:hint="eastAsia"/>
                <w:szCs w:val="21"/>
              </w:rPr>
            </w:pPr>
            <w:r>
              <w:rPr>
                <w:rFonts w:hint="eastAsia"/>
                <w:szCs w:val="21"/>
              </w:rPr>
              <w:t>10</w:t>
            </w:r>
          </w:p>
        </w:tc>
        <w:tc>
          <w:tcPr>
            <w:tcW w:w="3346" w:type="dxa"/>
            <w:vAlign w:val="center"/>
          </w:tcPr>
          <w:p w14:paraId="3E7E0933">
            <w:pPr>
              <w:spacing w:line="360" w:lineRule="auto"/>
              <w:jc w:val="center"/>
              <w:rPr>
                <w:rFonts w:hint="eastAsia"/>
                <w:szCs w:val="21"/>
              </w:rPr>
            </w:pPr>
            <w:r>
              <w:rPr>
                <w:rFonts w:hint="eastAsia"/>
                <w:szCs w:val="21"/>
              </w:rPr>
              <w:t>梁端纵向位移</w:t>
            </w:r>
          </w:p>
        </w:tc>
        <w:tc>
          <w:tcPr>
            <w:tcW w:w="1581" w:type="dxa"/>
            <w:vAlign w:val="center"/>
          </w:tcPr>
          <w:p w14:paraId="0433D115">
            <w:pPr>
              <w:spacing w:line="360" w:lineRule="auto"/>
              <w:jc w:val="center"/>
              <w:rPr>
                <w:rFonts w:hint="eastAsia"/>
                <w:szCs w:val="21"/>
              </w:rPr>
            </w:pPr>
          </w:p>
        </w:tc>
      </w:tr>
    </w:tbl>
    <w:p w14:paraId="472D09AB">
      <w:pPr>
        <w:keepNext/>
        <w:keepLines/>
        <w:spacing w:line="360" w:lineRule="auto"/>
        <w:ind w:firstLine="420" w:firstLineChars="200"/>
        <w:rPr>
          <w:rFonts w:hint="eastAsia"/>
          <w:szCs w:val="21"/>
        </w:rPr>
      </w:pPr>
    </w:p>
    <w:p w14:paraId="25D8D18B">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（3）监测测点</w:t>
      </w:r>
    </w:p>
    <w:p w14:paraId="09EB94F8">
      <w:pPr>
        <w:spacing w:line="360" w:lineRule="auto"/>
        <w:ind w:firstLine="420" w:firstLineChars="200"/>
        <w:rPr>
          <w:rFonts w:hint="eastAsia"/>
          <w:szCs w:val="21"/>
        </w:rPr>
      </w:pPr>
      <w:r>
        <w:rPr>
          <w:rFonts w:hint="eastAsia"/>
          <w:szCs w:val="21"/>
        </w:rPr>
        <w:t>依据上述濮阳黄河公路大桥监测系统监测内容设定，本系统监测测点布设要求如下：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03"/>
        <w:gridCol w:w="1023"/>
        <w:gridCol w:w="3098"/>
      </w:tblGrid>
      <w:tr w14:paraId="730D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2DBEAEE8">
            <w:pPr>
              <w:spacing w:line="360" w:lineRule="auto"/>
              <w:jc w:val="center"/>
              <w:rPr>
                <w:rFonts w:hint="eastAsia"/>
                <w:b/>
                <w:bCs/>
                <w:szCs w:val="21"/>
              </w:rPr>
            </w:pPr>
            <w:r>
              <w:rPr>
                <w:rFonts w:hint="eastAsia"/>
                <w:b/>
                <w:bCs/>
                <w:szCs w:val="21"/>
              </w:rPr>
              <w:t>序号</w:t>
            </w:r>
          </w:p>
        </w:tc>
        <w:tc>
          <w:tcPr>
            <w:tcW w:w="2003" w:type="dxa"/>
            <w:vAlign w:val="center"/>
          </w:tcPr>
          <w:p w14:paraId="0748D8B2">
            <w:pPr>
              <w:spacing w:line="360" w:lineRule="auto"/>
              <w:jc w:val="center"/>
              <w:rPr>
                <w:rFonts w:hint="eastAsia"/>
                <w:b/>
                <w:bCs/>
                <w:szCs w:val="21"/>
              </w:rPr>
            </w:pPr>
            <w:r>
              <w:rPr>
                <w:rFonts w:hint="eastAsia"/>
                <w:b/>
                <w:bCs/>
                <w:szCs w:val="21"/>
              </w:rPr>
              <w:t>监测内容</w:t>
            </w:r>
          </w:p>
        </w:tc>
        <w:tc>
          <w:tcPr>
            <w:tcW w:w="1023" w:type="dxa"/>
            <w:vAlign w:val="center"/>
          </w:tcPr>
          <w:p w14:paraId="10ADD30C">
            <w:pPr>
              <w:spacing w:line="360" w:lineRule="auto"/>
              <w:jc w:val="center"/>
              <w:rPr>
                <w:rFonts w:hint="eastAsia"/>
                <w:b/>
                <w:bCs/>
                <w:szCs w:val="21"/>
              </w:rPr>
            </w:pPr>
            <w:r>
              <w:rPr>
                <w:rFonts w:hint="eastAsia"/>
                <w:b/>
                <w:bCs/>
                <w:szCs w:val="21"/>
              </w:rPr>
              <w:t>测点数量</w:t>
            </w:r>
          </w:p>
        </w:tc>
        <w:tc>
          <w:tcPr>
            <w:tcW w:w="3098" w:type="dxa"/>
            <w:vAlign w:val="center"/>
          </w:tcPr>
          <w:p w14:paraId="7786378B">
            <w:pPr>
              <w:spacing w:line="360" w:lineRule="auto"/>
              <w:jc w:val="center"/>
              <w:rPr>
                <w:rFonts w:hint="eastAsia"/>
                <w:b/>
                <w:bCs/>
                <w:szCs w:val="21"/>
              </w:rPr>
            </w:pPr>
            <w:r>
              <w:rPr>
                <w:rFonts w:hint="eastAsia"/>
                <w:b/>
                <w:bCs/>
                <w:szCs w:val="21"/>
              </w:rPr>
              <w:t>位置描述</w:t>
            </w:r>
          </w:p>
        </w:tc>
      </w:tr>
      <w:tr w14:paraId="3BEF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15" w:type="dxa"/>
            <w:vAlign w:val="center"/>
          </w:tcPr>
          <w:p w14:paraId="6FD54696">
            <w:pPr>
              <w:spacing w:line="360" w:lineRule="auto"/>
              <w:jc w:val="center"/>
              <w:rPr>
                <w:rFonts w:hint="eastAsia"/>
                <w:szCs w:val="21"/>
              </w:rPr>
            </w:pPr>
            <w:r>
              <w:rPr>
                <w:rFonts w:hint="eastAsia"/>
                <w:szCs w:val="21"/>
              </w:rPr>
              <w:t>1</w:t>
            </w:r>
          </w:p>
        </w:tc>
        <w:tc>
          <w:tcPr>
            <w:tcW w:w="2003" w:type="dxa"/>
            <w:vAlign w:val="center"/>
          </w:tcPr>
          <w:p w14:paraId="6401EAF1">
            <w:pPr>
              <w:spacing w:line="360" w:lineRule="auto"/>
              <w:jc w:val="center"/>
              <w:rPr>
                <w:rFonts w:hint="eastAsia"/>
                <w:szCs w:val="21"/>
              </w:rPr>
            </w:pPr>
            <w:r>
              <w:rPr>
                <w:rFonts w:hint="eastAsia"/>
                <w:szCs w:val="21"/>
              </w:rPr>
              <w:t>温湿度</w:t>
            </w:r>
          </w:p>
        </w:tc>
        <w:tc>
          <w:tcPr>
            <w:tcW w:w="1023" w:type="dxa"/>
            <w:vAlign w:val="center"/>
          </w:tcPr>
          <w:p w14:paraId="389F0288">
            <w:pPr>
              <w:spacing w:line="360" w:lineRule="auto"/>
              <w:jc w:val="center"/>
              <w:rPr>
                <w:rFonts w:hint="eastAsia"/>
                <w:szCs w:val="21"/>
              </w:rPr>
            </w:pPr>
            <w:r>
              <w:rPr>
                <w:rFonts w:hint="eastAsia"/>
                <w:szCs w:val="21"/>
              </w:rPr>
              <w:t>4</w:t>
            </w:r>
          </w:p>
        </w:tc>
        <w:tc>
          <w:tcPr>
            <w:tcW w:w="3098" w:type="dxa"/>
            <w:vAlign w:val="center"/>
          </w:tcPr>
          <w:p w14:paraId="4730F339">
            <w:pPr>
              <w:pStyle w:val="34"/>
              <w:widowControl w:val="0"/>
              <w:spacing w:line="360" w:lineRule="auto"/>
              <w:rPr>
                <w:rFonts w:hint="eastAsia" w:ascii="宋体" w:hAnsi="宋体" w:cs="宋体"/>
                <w:szCs w:val="21"/>
              </w:rPr>
            </w:pPr>
            <w:r>
              <w:rPr>
                <w:rFonts w:hint="eastAsia" w:ascii="宋体" w:hAnsi="宋体" w:cs="宋体"/>
                <w:szCs w:val="21"/>
              </w:rPr>
              <w:t>跨中桥面/箱梁内</w:t>
            </w:r>
          </w:p>
        </w:tc>
      </w:tr>
      <w:tr w14:paraId="77AF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15" w:type="dxa"/>
            <w:vAlign w:val="center"/>
          </w:tcPr>
          <w:p w14:paraId="73E8734A">
            <w:pPr>
              <w:spacing w:line="360" w:lineRule="auto"/>
              <w:jc w:val="center"/>
              <w:rPr>
                <w:rFonts w:hint="eastAsia"/>
                <w:szCs w:val="21"/>
              </w:rPr>
            </w:pPr>
            <w:r>
              <w:rPr>
                <w:rFonts w:hint="eastAsia"/>
                <w:szCs w:val="21"/>
              </w:rPr>
              <w:t>2</w:t>
            </w:r>
          </w:p>
        </w:tc>
        <w:tc>
          <w:tcPr>
            <w:tcW w:w="2003" w:type="dxa"/>
            <w:vAlign w:val="center"/>
          </w:tcPr>
          <w:p w14:paraId="379BC85B">
            <w:pPr>
              <w:spacing w:line="360" w:lineRule="auto"/>
              <w:jc w:val="center"/>
              <w:rPr>
                <w:rFonts w:hint="eastAsia"/>
                <w:szCs w:val="21"/>
              </w:rPr>
            </w:pPr>
            <w:r>
              <w:rPr>
                <w:rFonts w:hint="eastAsia"/>
                <w:szCs w:val="21"/>
              </w:rPr>
              <w:t>降雨量</w:t>
            </w:r>
          </w:p>
        </w:tc>
        <w:tc>
          <w:tcPr>
            <w:tcW w:w="1023" w:type="dxa"/>
            <w:vAlign w:val="center"/>
          </w:tcPr>
          <w:p w14:paraId="6E62293E">
            <w:pPr>
              <w:spacing w:line="360" w:lineRule="auto"/>
              <w:jc w:val="center"/>
              <w:rPr>
                <w:rFonts w:hint="eastAsia"/>
                <w:szCs w:val="21"/>
              </w:rPr>
            </w:pPr>
            <w:r>
              <w:rPr>
                <w:rFonts w:hint="eastAsia"/>
                <w:szCs w:val="21"/>
              </w:rPr>
              <w:t>1</w:t>
            </w:r>
          </w:p>
        </w:tc>
        <w:tc>
          <w:tcPr>
            <w:tcW w:w="3098" w:type="dxa"/>
            <w:vAlign w:val="center"/>
          </w:tcPr>
          <w:p w14:paraId="46D515BA">
            <w:pPr>
              <w:pStyle w:val="34"/>
              <w:widowControl w:val="0"/>
              <w:spacing w:line="360" w:lineRule="auto"/>
              <w:rPr>
                <w:rFonts w:hint="eastAsia" w:ascii="宋体" w:hAnsi="宋体" w:cs="宋体"/>
                <w:szCs w:val="21"/>
              </w:rPr>
            </w:pPr>
            <w:r>
              <w:rPr>
                <w:rFonts w:hint="eastAsia" w:ascii="宋体" w:hAnsi="宋体" w:cs="宋体"/>
                <w:szCs w:val="21"/>
              </w:rPr>
              <w:t>跨中桥面</w:t>
            </w:r>
          </w:p>
        </w:tc>
      </w:tr>
      <w:tr w14:paraId="028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15" w:type="dxa"/>
            <w:vAlign w:val="center"/>
          </w:tcPr>
          <w:p w14:paraId="1BC7CFDB">
            <w:pPr>
              <w:spacing w:line="360" w:lineRule="auto"/>
              <w:jc w:val="center"/>
              <w:rPr>
                <w:rFonts w:hint="eastAsia"/>
                <w:szCs w:val="21"/>
              </w:rPr>
            </w:pPr>
            <w:r>
              <w:rPr>
                <w:rFonts w:hint="eastAsia"/>
                <w:szCs w:val="21"/>
              </w:rPr>
              <w:t>3</w:t>
            </w:r>
          </w:p>
        </w:tc>
        <w:tc>
          <w:tcPr>
            <w:tcW w:w="2003" w:type="dxa"/>
            <w:vAlign w:val="center"/>
          </w:tcPr>
          <w:p w14:paraId="5B7DC406">
            <w:pPr>
              <w:spacing w:line="360" w:lineRule="auto"/>
              <w:jc w:val="center"/>
              <w:rPr>
                <w:rFonts w:hint="eastAsia"/>
                <w:szCs w:val="21"/>
              </w:rPr>
            </w:pPr>
            <w:r>
              <w:rPr>
                <w:rFonts w:hint="eastAsia"/>
                <w:szCs w:val="21"/>
              </w:rPr>
              <w:t>强震动</w:t>
            </w:r>
          </w:p>
        </w:tc>
        <w:tc>
          <w:tcPr>
            <w:tcW w:w="1023" w:type="dxa"/>
            <w:vAlign w:val="center"/>
          </w:tcPr>
          <w:p w14:paraId="02D5EE41">
            <w:pPr>
              <w:spacing w:line="360" w:lineRule="auto"/>
              <w:jc w:val="center"/>
              <w:rPr>
                <w:rFonts w:hint="eastAsia"/>
                <w:szCs w:val="21"/>
              </w:rPr>
            </w:pPr>
            <w:r>
              <w:rPr>
                <w:rFonts w:hint="eastAsia"/>
                <w:szCs w:val="21"/>
              </w:rPr>
              <w:t>11</w:t>
            </w:r>
          </w:p>
        </w:tc>
        <w:tc>
          <w:tcPr>
            <w:tcW w:w="3098" w:type="dxa"/>
            <w:vAlign w:val="center"/>
          </w:tcPr>
          <w:p w14:paraId="6421DF72">
            <w:pPr>
              <w:spacing w:line="360" w:lineRule="auto"/>
              <w:jc w:val="center"/>
              <w:rPr>
                <w:rFonts w:hint="eastAsia"/>
                <w:szCs w:val="21"/>
              </w:rPr>
            </w:pPr>
            <w:r>
              <w:rPr>
                <w:rFonts w:hint="eastAsia"/>
                <w:szCs w:val="21"/>
              </w:rPr>
              <w:t>主桥跨中处、主桥1/4处和主桥3/4处；桥墩和桥面结合处</w:t>
            </w:r>
          </w:p>
        </w:tc>
      </w:tr>
      <w:tr w14:paraId="08E6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6929DF16">
            <w:pPr>
              <w:spacing w:line="360" w:lineRule="auto"/>
              <w:jc w:val="center"/>
              <w:rPr>
                <w:rFonts w:hint="eastAsia"/>
                <w:szCs w:val="21"/>
              </w:rPr>
            </w:pPr>
            <w:r>
              <w:rPr>
                <w:rFonts w:hint="eastAsia"/>
                <w:szCs w:val="21"/>
              </w:rPr>
              <w:t>4</w:t>
            </w:r>
          </w:p>
        </w:tc>
        <w:tc>
          <w:tcPr>
            <w:tcW w:w="2003" w:type="dxa"/>
            <w:vAlign w:val="center"/>
          </w:tcPr>
          <w:p w14:paraId="06603AAC">
            <w:pPr>
              <w:spacing w:line="360" w:lineRule="auto"/>
              <w:jc w:val="center"/>
              <w:rPr>
                <w:rFonts w:hint="eastAsia"/>
                <w:szCs w:val="21"/>
              </w:rPr>
            </w:pPr>
            <w:r>
              <w:rPr>
                <w:rFonts w:hint="eastAsia"/>
                <w:szCs w:val="21"/>
              </w:rPr>
              <w:t>风速风向</w:t>
            </w:r>
          </w:p>
        </w:tc>
        <w:tc>
          <w:tcPr>
            <w:tcW w:w="1023" w:type="dxa"/>
            <w:vAlign w:val="center"/>
          </w:tcPr>
          <w:p w14:paraId="34B77D46">
            <w:pPr>
              <w:spacing w:line="360" w:lineRule="auto"/>
              <w:jc w:val="center"/>
              <w:rPr>
                <w:rFonts w:hint="eastAsia"/>
                <w:szCs w:val="21"/>
              </w:rPr>
            </w:pPr>
            <w:r>
              <w:rPr>
                <w:rFonts w:hint="eastAsia"/>
                <w:szCs w:val="21"/>
              </w:rPr>
              <w:t>1</w:t>
            </w:r>
          </w:p>
        </w:tc>
        <w:tc>
          <w:tcPr>
            <w:tcW w:w="3098" w:type="dxa"/>
            <w:vAlign w:val="center"/>
          </w:tcPr>
          <w:p w14:paraId="7E4DC762">
            <w:pPr>
              <w:spacing w:line="360" w:lineRule="auto"/>
              <w:jc w:val="center"/>
              <w:rPr>
                <w:rFonts w:hint="eastAsia"/>
                <w:szCs w:val="21"/>
              </w:rPr>
            </w:pPr>
            <w:r>
              <w:rPr>
                <w:rFonts w:hint="eastAsia"/>
                <w:szCs w:val="21"/>
              </w:rPr>
              <w:t>跨中桥面</w:t>
            </w:r>
          </w:p>
        </w:tc>
      </w:tr>
      <w:tr w14:paraId="40D2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206FBFBD">
            <w:pPr>
              <w:spacing w:line="360" w:lineRule="auto"/>
              <w:jc w:val="center"/>
              <w:rPr>
                <w:rFonts w:hint="eastAsia"/>
                <w:szCs w:val="21"/>
              </w:rPr>
            </w:pPr>
            <w:r>
              <w:rPr>
                <w:rFonts w:hint="eastAsia"/>
                <w:szCs w:val="21"/>
              </w:rPr>
              <w:t>5</w:t>
            </w:r>
          </w:p>
        </w:tc>
        <w:tc>
          <w:tcPr>
            <w:tcW w:w="2003" w:type="dxa"/>
            <w:vAlign w:val="center"/>
          </w:tcPr>
          <w:p w14:paraId="7A1B8814">
            <w:pPr>
              <w:spacing w:line="360" w:lineRule="auto"/>
              <w:jc w:val="center"/>
              <w:rPr>
                <w:rFonts w:hint="eastAsia"/>
                <w:szCs w:val="21"/>
              </w:rPr>
            </w:pPr>
            <w:r>
              <w:rPr>
                <w:rFonts w:hint="eastAsia"/>
                <w:szCs w:val="21"/>
              </w:rPr>
              <w:t>视频监控</w:t>
            </w:r>
          </w:p>
        </w:tc>
        <w:tc>
          <w:tcPr>
            <w:tcW w:w="1023" w:type="dxa"/>
            <w:vAlign w:val="center"/>
          </w:tcPr>
          <w:p w14:paraId="0D405FFB">
            <w:pPr>
              <w:spacing w:line="360" w:lineRule="auto"/>
              <w:jc w:val="center"/>
              <w:rPr>
                <w:rFonts w:hint="eastAsia"/>
                <w:szCs w:val="21"/>
              </w:rPr>
            </w:pPr>
            <w:r>
              <w:rPr>
                <w:rFonts w:hint="eastAsia"/>
                <w:szCs w:val="21"/>
              </w:rPr>
              <w:t>4</w:t>
            </w:r>
          </w:p>
        </w:tc>
        <w:tc>
          <w:tcPr>
            <w:tcW w:w="3098" w:type="dxa"/>
            <w:vAlign w:val="center"/>
          </w:tcPr>
          <w:p w14:paraId="79AEC545">
            <w:pPr>
              <w:spacing w:line="360" w:lineRule="auto"/>
              <w:jc w:val="center"/>
              <w:rPr>
                <w:rFonts w:hint="eastAsia"/>
                <w:szCs w:val="21"/>
              </w:rPr>
            </w:pPr>
            <w:r>
              <w:rPr>
                <w:rFonts w:hint="eastAsia"/>
                <w:szCs w:val="21"/>
              </w:rPr>
              <w:t>主桥桥面</w:t>
            </w:r>
          </w:p>
        </w:tc>
      </w:tr>
      <w:tr w14:paraId="56EA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75A416B4">
            <w:pPr>
              <w:spacing w:line="360" w:lineRule="auto"/>
              <w:jc w:val="center"/>
              <w:rPr>
                <w:rFonts w:hint="eastAsia"/>
                <w:szCs w:val="21"/>
              </w:rPr>
            </w:pPr>
            <w:r>
              <w:rPr>
                <w:rFonts w:hint="eastAsia"/>
                <w:szCs w:val="21"/>
              </w:rPr>
              <w:t>6</w:t>
            </w:r>
          </w:p>
        </w:tc>
        <w:tc>
          <w:tcPr>
            <w:tcW w:w="2003" w:type="dxa"/>
            <w:vAlign w:val="center"/>
          </w:tcPr>
          <w:p w14:paraId="3307FEB6">
            <w:pPr>
              <w:spacing w:line="360" w:lineRule="auto"/>
              <w:jc w:val="center"/>
              <w:rPr>
                <w:rFonts w:hint="eastAsia"/>
                <w:szCs w:val="21"/>
              </w:rPr>
            </w:pPr>
            <w:r>
              <w:rPr>
                <w:rFonts w:hint="eastAsia"/>
                <w:szCs w:val="21"/>
              </w:rPr>
              <w:t>结构温度</w:t>
            </w:r>
          </w:p>
        </w:tc>
        <w:tc>
          <w:tcPr>
            <w:tcW w:w="1023" w:type="dxa"/>
            <w:vAlign w:val="center"/>
          </w:tcPr>
          <w:p w14:paraId="54C367C1">
            <w:pPr>
              <w:spacing w:line="360" w:lineRule="auto"/>
              <w:jc w:val="center"/>
              <w:rPr>
                <w:rFonts w:hint="eastAsia"/>
                <w:szCs w:val="21"/>
              </w:rPr>
            </w:pPr>
            <w:r>
              <w:rPr>
                <w:rFonts w:hint="eastAsia"/>
                <w:szCs w:val="21"/>
              </w:rPr>
              <w:t>144</w:t>
            </w:r>
          </w:p>
        </w:tc>
        <w:tc>
          <w:tcPr>
            <w:tcW w:w="3098" w:type="dxa"/>
            <w:vAlign w:val="center"/>
          </w:tcPr>
          <w:p w14:paraId="67703692">
            <w:pPr>
              <w:spacing w:line="360" w:lineRule="auto"/>
              <w:jc w:val="center"/>
              <w:rPr>
                <w:rFonts w:hint="eastAsia"/>
                <w:szCs w:val="21"/>
              </w:rPr>
            </w:pPr>
            <w:r>
              <w:rPr>
                <w:rFonts w:hint="eastAsia"/>
                <w:szCs w:val="21"/>
              </w:rPr>
              <w:t>跨中箱梁内</w:t>
            </w:r>
          </w:p>
        </w:tc>
      </w:tr>
      <w:tr w14:paraId="49A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79BC2640">
            <w:pPr>
              <w:spacing w:line="360" w:lineRule="auto"/>
              <w:jc w:val="center"/>
              <w:rPr>
                <w:rFonts w:hint="eastAsia"/>
                <w:szCs w:val="21"/>
              </w:rPr>
            </w:pPr>
            <w:r>
              <w:rPr>
                <w:rFonts w:hint="eastAsia"/>
                <w:szCs w:val="21"/>
              </w:rPr>
              <w:t>7</w:t>
            </w:r>
          </w:p>
        </w:tc>
        <w:tc>
          <w:tcPr>
            <w:tcW w:w="2003" w:type="dxa"/>
            <w:vAlign w:val="center"/>
          </w:tcPr>
          <w:p w14:paraId="42144F93">
            <w:pPr>
              <w:spacing w:line="360" w:lineRule="auto"/>
              <w:jc w:val="center"/>
              <w:rPr>
                <w:rFonts w:hint="eastAsia"/>
                <w:szCs w:val="21"/>
              </w:rPr>
            </w:pPr>
            <w:r>
              <w:rPr>
                <w:rFonts w:hint="eastAsia"/>
                <w:szCs w:val="21"/>
              </w:rPr>
              <w:t>关键截面应变</w:t>
            </w:r>
          </w:p>
        </w:tc>
        <w:tc>
          <w:tcPr>
            <w:tcW w:w="1023" w:type="dxa"/>
            <w:vAlign w:val="center"/>
          </w:tcPr>
          <w:p w14:paraId="203D8AA7">
            <w:pPr>
              <w:spacing w:line="360" w:lineRule="auto"/>
              <w:jc w:val="center"/>
              <w:rPr>
                <w:rFonts w:hint="eastAsia"/>
                <w:szCs w:val="21"/>
              </w:rPr>
            </w:pPr>
            <w:r>
              <w:rPr>
                <w:rFonts w:hint="eastAsia"/>
                <w:szCs w:val="21"/>
              </w:rPr>
              <w:t>144</w:t>
            </w:r>
          </w:p>
        </w:tc>
        <w:tc>
          <w:tcPr>
            <w:tcW w:w="3098" w:type="dxa"/>
            <w:vAlign w:val="center"/>
          </w:tcPr>
          <w:p w14:paraId="73FCF0BF">
            <w:pPr>
              <w:spacing w:line="360" w:lineRule="auto"/>
              <w:jc w:val="center"/>
              <w:rPr>
                <w:rFonts w:hint="eastAsia"/>
                <w:szCs w:val="21"/>
              </w:rPr>
            </w:pPr>
            <w:r>
              <w:rPr>
                <w:rFonts w:hint="eastAsia"/>
                <w:szCs w:val="21"/>
              </w:rPr>
              <w:t>跨中箱梁内</w:t>
            </w:r>
          </w:p>
        </w:tc>
      </w:tr>
      <w:tr w14:paraId="0B86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042376F0">
            <w:pPr>
              <w:spacing w:line="360" w:lineRule="auto"/>
              <w:jc w:val="center"/>
              <w:rPr>
                <w:rFonts w:hint="eastAsia"/>
                <w:szCs w:val="21"/>
              </w:rPr>
            </w:pPr>
            <w:r>
              <w:rPr>
                <w:rFonts w:hint="eastAsia"/>
                <w:szCs w:val="21"/>
              </w:rPr>
              <w:t>8</w:t>
            </w:r>
          </w:p>
        </w:tc>
        <w:tc>
          <w:tcPr>
            <w:tcW w:w="2003" w:type="dxa"/>
            <w:vAlign w:val="center"/>
          </w:tcPr>
          <w:p w14:paraId="5F9677F4">
            <w:pPr>
              <w:spacing w:line="360" w:lineRule="auto"/>
              <w:jc w:val="center"/>
              <w:rPr>
                <w:rFonts w:hint="eastAsia"/>
                <w:szCs w:val="21"/>
              </w:rPr>
            </w:pPr>
            <w:r>
              <w:rPr>
                <w:rFonts w:hint="eastAsia"/>
                <w:szCs w:val="21"/>
              </w:rPr>
              <w:t>主梁竖向位移</w:t>
            </w:r>
          </w:p>
        </w:tc>
        <w:tc>
          <w:tcPr>
            <w:tcW w:w="1023" w:type="dxa"/>
            <w:vAlign w:val="center"/>
          </w:tcPr>
          <w:p w14:paraId="2A84B045">
            <w:pPr>
              <w:spacing w:line="360" w:lineRule="auto"/>
              <w:jc w:val="center"/>
              <w:rPr>
                <w:rFonts w:hint="eastAsia"/>
                <w:szCs w:val="21"/>
              </w:rPr>
            </w:pPr>
            <w:r>
              <w:rPr>
                <w:rFonts w:hint="eastAsia"/>
                <w:szCs w:val="21"/>
              </w:rPr>
              <w:t>40</w:t>
            </w:r>
          </w:p>
        </w:tc>
        <w:tc>
          <w:tcPr>
            <w:tcW w:w="3098" w:type="dxa"/>
            <w:vAlign w:val="center"/>
          </w:tcPr>
          <w:p w14:paraId="3F6B1EBC">
            <w:pPr>
              <w:spacing w:line="360" w:lineRule="auto"/>
              <w:jc w:val="center"/>
              <w:rPr>
                <w:rFonts w:hint="eastAsia"/>
                <w:szCs w:val="21"/>
              </w:rPr>
            </w:pPr>
            <w:r>
              <w:rPr>
                <w:rFonts w:hint="eastAsia"/>
                <w:szCs w:val="21"/>
              </w:rPr>
              <w:t>主梁（含基准点）</w:t>
            </w:r>
          </w:p>
        </w:tc>
      </w:tr>
      <w:tr w14:paraId="6F33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4F5AAC33">
            <w:pPr>
              <w:spacing w:line="360" w:lineRule="auto"/>
              <w:jc w:val="center"/>
              <w:rPr>
                <w:rFonts w:hint="eastAsia"/>
                <w:szCs w:val="21"/>
              </w:rPr>
            </w:pPr>
            <w:r>
              <w:rPr>
                <w:rFonts w:hint="eastAsia"/>
                <w:szCs w:val="21"/>
              </w:rPr>
              <w:t>9</w:t>
            </w:r>
          </w:p>
        </w:tc>
        <w:tc>
          <w:tcPr>
            <w:tcW w:w="2003" w:type="dxa"/>
            <w:vAlign w:val="center"/>
          </w:tcPr>
          <w:p w14:paraId="648D0A40">
            <w:pPr>
              <w:spacing w:line="360" w:lineRule="auto"/>
              <w:jc w:val="center"/>
              <w:rPr>
                <w:rFonts w:hint="eastAsia"/>
                <w:szCs w:val="21"/>
              </w:rPr>
            </w:pPr>
            <w:r>
              <w:rPr>
                <w:rFonts w:hint="eastAsia"/>
                <w:szCs w:val="21"/>
              </w:rPr>
              <w:t>空间变位</w:t>
            </w:r>
          </w:p>
        </w:tc>
        <w:tc>
          <w:tcPr>
            <w:tcW w:w="1023" w:type="dxa"/>
            <w:vAlign w:val="center"/>
          </w:tcPr>
          <w:p w14:paraId="11CF1E68">
            <w:pPr>
              <w:spacing w:line="360" w:lineRule="auto"/>
              <w:jc w:val="center"/>
              <w:rPr>
                <w:rFonts w:hint="eastAsia"/>
                <w:szCs w:val="21"/>
              </w:rPr>
            </w:pPr>
            <w:r>
              <w:rPr>
                <w:rFonts w:hint="eastAsia"/>
                <w:szCs w:val="21"/>
              </w:rPr>
              <w:t>5</w:t>
            </w:r>
          </w:p>
        </w:tc>
        <w:tc>
          <w:tcPr>
            <w:tcW w:w="3098" w:type="dxa"/>
            <w:vAlign w:val="center"/>
          </w:tcPr>
          <w:p w14:paraId="51CE3780">
            <w:pPr>
              <w:spacing w:line="360" w:lineRule="auto"/>
              <w:jc w:val="center"/>
              <w:rPr>
                <w:rFonts w:hint="eastAsia"/>
                <w:szCs w:val="21"/>
              </w:rPr>
            </w:pPr>
            <w:r>
              <w:rPr>
                <w:rFonts w:hint="eastAsia"/>
                <w:szCs w:val="21"/>
              </w:rPr>
              <w:t>两联中跨（含基准点）</w:t>
            </w:r>
          </w:p>
        </w:tc>
      </w:tr>
      <w:tr w14:paraId="3AE1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 w:type="dxa"/>
            <w:vAlign w:val="center"/>
          </w:tcPr>
          <w:p w14:paraId="381AE1AB">
            <w:pPr>
              <w:spacing w:line="360" w:lineRule="auto"/>
              <w:jc w:val="center"/>
              <w:rPr>
                <w:rFonts w:hint="eastAsia"/>
                <w:szCs w:val="21"/>
              </w:rPr>
            </w:pPr>
            <w:r>
              <w:rPr>
                <w:rFonts w:hint="eastAsia"/>
                <w:szCs w:val="21"/>
              </w:rPr>
              <w:t>10</w:t>
            </w:r>
          </w:p>
        </w:tc>
        <w:tc>
          <w:tcPr>
            <w:tcW w:w="2003" w:type="dxa"/>
            <w:vAlign w:val="center"/>
          </w:tcPr>
          <w:p w14:paraId="7A502E44">
            <w:pPr>
              <w:spacing w:line="360" w:lineRule="auto"/>
              <w:jc w:val="center"/>
              <w:rPr>
                <w:rFonts w:hint="eastAsia"/>
                <w:szCs w:val="21"/>
              </w:rPr>
            </w:pPr>
            <w:r>
              <w:rPr>
                <w:rFonts w:hint="eastAsia"/>
                <w:szCs w:val="21"/>
              </w:rPr>
              <w:t>梁端纵向位移</w:t>
            </w:r>
          </w:p>
        </w:tc>
        <w:tc>
          <w:tcPr>
            <w:tcW w:w="1023" w:type="dxa"/>
            <w:vAlign w:val="center"/>
          </w:tcPr>
          <w:p w14:paraId="710BDC0A">
            <w:pPr>
              <w:spacing w:line="360" w:lineRule="auto"/>
              <w:jc w:val="center"/>
              <w:rPr>
                <w:rFonts w:hint="eastAsia"/>
                <w:szCs w:val="21"/>
              </w:rPr>
            </w:pPr>
            <w:r>
              <w:rPr>
                <w:rFonts w:hint="eastAsia"/>
                <w:szCs w:val="21"/>
              </w:rPr>
              <w:t>6</w:t>
            </w:r>
          </w:p>
        </w:tc>
        <w:tc>
          <w:tcPr>
            <w:tcW w:w="3098" w:type="dxa"/>
            <w:vAlign w:val="center"/>
          </w:tcPr>
          <w:p w14:paraId="6F0556DA">
            <w:pPr>
              <w:spacing w:line="360" w:lineRule="auto"/>
              <w:jc w:val="center"/>
              <w:rPr>
                <w:rFonts w:hint="eastAsia"/>
                <w:szCs w:val="21"/>
              </w:rPr>
            </w:pPr>
            <w:r>
              <w:rPr>
                <w:rFonts w:hint="eastAsia"/>
                <w:szCs w:val="21"/>
              </w:rPr>
              <w:t>主桥梁端伸缩缝</w:t>
            </w:r>
          </w:p>
        </w:tc>
      </w:tr>
      <w:tr w14:paraId="1C19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18" w:type="dxa"/>
            <w:gridSpan w:val="2"/>
            <w:vAlign w:val="center"/>
          </w:tcPr>
          <w:p w14:paraId="075C4476">
            <w:pPr>
              <w:spacing w:line="360" w:lineRule="auto"/>
              <w:jc w:val="center"/>
              <w:rPr>
                <w:rFonts w:hint="eastAsia"/>
                <w:szCs w:val="21"/>
              </w:rPr>
            </w:pPr>
            <w:r>
              <w:rPr>
                <w:rFonts w:hint="eastAsia"/>
                <w:szCs w:val="21"/>
              </w:rPr>
              <w:t>合计</w:t>
            </w:r>
          </w:p>
        </w:tc>
        <w:tc>
          <w:tcPr>
            <w:tcW w:w="1023" w:type="dxa"/>
            <w:vAlign w:val="center"/>
          </w:tcPr>
          <w:p w14:paraId="79BB17C3">
            <w:pPr>
              <w:spacing w:line="360" w:lineRule="auto"/>
              <w:jc w:val="center"/>
              <w:rPr>
                <w:rFonts w:hint="eastAsia"/>
                <w:szCs w:val="21"/>
              </w:rPr>
            </w:pPr>
            <w:r>
              <w:rPr>
                <w:rFonts w:hint="eastAsia"/>
                <w:szCs w:val="21"/>
              </w:rPr>
              <w:t>360</w:t>
            </w:r>
          </w:p>
        </w:tc>
        <w:tc>
          <w:tcPr>
            <w:tcW w:w="3098" w:type="dxa"/>
            <w:vAlign w:val="center"/>
          </w:tcPr>
          <w:p w14:paraId="198B9D30">
            <w:pPr>
              <w:spacing w:line="360" w:lineRule="auto"/>
              <w:jc w:val="center"/>
              <w:rPr>
                <w:rFonts w:hint="eastAsia"/>
                <w:szCs w:val="21"/>
              </w:rPr>
            </w:pPr>
          </w:p>
        </w:tc>
      </w:tr>
    </w:tbl>
    <w:p w14:paraId="297E3F0B">
      <w:pPr>
        <w:spacing w:line="360" w:lineRule="auto"/>
        <w:jc w:val="center"/>
        <w:rPr>
          <w:rFonts w:hint="eastAsia"/>
          <w:szCs w:val="21"/>
        </w:rPr>
      </w:pPr>
    </w:p>
    <w:p w14:paraId="6B455A71">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（4）系统集成</w:t>
      </w:r>
    </w:p>
    <w:p w14:paraId="5EAB8BE6">
      <w:pPr>
        <w:spacing w:line="360" w:lineRule="auto"/>
        <w:ind w:firstLine="420" w:firstLineChars="200"/>
        <w:rPr>
          <w:rFonts w:hint="eastAsia"/>
          <w:szCs w:val="21"/>
        </w:rPr>
      </w:pPr>
      <w:r>
        <w:rPr>
          <w:rFonts w:hint="eastAsia"/>
          <w:szCs w:val="21"/>
        </w:rPr>
        <w:t>濮阳白堽黄河公路大桥监测系统集成主要包括现场采集传输集成、重大工程健康监测和诊断平台集成。通过现场集成调试，确保系统所有监测点正常运行，再通过组网传输将满足平台接口协议要求的系统监测数据发送至重大工程健康监测和诊断平台，并通过后者进行相关功能展示。</w:t>
      </w:r>
    </w:p>
    <w:p w14:paraId="7622D14A">
      <w:pPr>
        <w:pStyle w:val="5"/>
        <w:spacing w:before="0" w:after="0" w:line="360" w:lineRule="auto"/>
        <w:ind w:firstLine="422" w:firstLineChars="200"/>
        <w:rPr>
          <w:rFonts w:hint="eastAsia" w:ascii="宋体" w:hAnsi="宋体" w:eastAsia="宋体"/>
          <w:sz w:val="21"/>
          <w:szCs w:val="21"/>
        </w:rPr>
      </w:pPr>
      <w:r>
        <w:rPr>
          <w:rFonts w:hint="eastAsia" w:ascii="宋体" w:hAnsi="宋体" w:eastAsia="宋体"/>
          <w:sz w:val="21"/>
          <w:szCs w:val="21"/>
        </w:rPr>
        <w:t>（5）系统建设清单</w:t>
      </w:r>
    </w:p>
    <w:p w14:paraId="30C402D0">
      <w:pPr>
        <w:spacing w:line="360" w:lineRule="auto"/>
        <w:ind w:firstLine="420" w:firstLineChars="200"/>
        <w:rPr>
          <w:rFonts w:hint="eastAsia"/>
          <w:szCs w:val="21"/>
        </w:rPr>
      </w:pPr>
      <w:r>
        <w:rPr>
          <w:rFonts w:hint="eastAsia"/>
          <w:szCs w:val="21"/>
        </w:rPr>
        <w:t>濮阳白堽黄河公路大桥监测系统建设清单如下表所示：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4014"/>
        <w:gridCol w:w="1473"/>
        <w:gridCol w:w="1236"/>
      </w:tblGrid>
      <w:tr w14:paraId="114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15" w:type="dxa"/>
            <w:vAlign w:val="center"/>
          </w:tcPr>
          <w:p w14:paraId="6AACB403">
            <w:pPr>
              <w:spacing w:line="360" w:lineRule="auto"/>
              <w:jc w:val="center"/>
              <w:rPr>
                <w:rFonts w:hint="eastAsia"/>
                <w:b/>
                <w:bCs/>
                <w:szCs w:val="21"/>
              </w:rPr>
            </w:pPr>
            <w:r>
              <w:rPr>
                <w:rFonts w:hint="eastAsia"/>
                <w:b/>
                <w:bCs/>
                <w:szCs w:val="21"/>
              </w:rPr>
              <w:t>序号</w:t>
            </w:r>
          </w:p>
        </w:tc>
        <w:tc>
          <w:tcPr>
            <w:tcW w:w="4014" w:type="dxa"/>
            <w:vAlign w:val="center"/>
          </w:tcPr>
          <w:p w14:paraId="7E82B7BE">
            <w:pPr>
              <w:spacing w:line="360" w:lineRule="auto"/>
              <w:jc w:val="center"/>
              <w:rPr>
                <w:rFonts w:hint="eastAsia"/>
                <w:b/>
                <w:bCs/>
                <w:szCs w:val="21"/>
              </w:rPr>
            </w:pPr>
            <w:r>
              <w:rPr>
                <w:rFonts w:hint="eastAsia"/>
                <w:b/>
                <w:bCs/>
                <w:szCs w:val="21"/>
              </w:rPr>
              <w:t>设备名称</w:t>
            </w:r>
          </w:p>
        </w:tc>
        <w:tc>
          <w:tcPr>
            <w:tcW w:w="1473" w:type="dxa"/>
            <w:vAlign w:val="center"/>
          </w:tcPr>
          <w:p w14:paraId="77D0005C">
            <w:pPr>
              <w:spacing w:line="360" w:lineRule="auto"/>
              <w:jc w:val="center"/>
              <w:rPr>
                <w:rFonts w:hint="eastAsia"/>
                <w:b/>
                <w:bCs/>
                <w:szCs w:val="21"/>
              </w:rPr>
            </w:pPr>
            <w:r>
              <w:rPr>
                <w:rFonts w:hint="eastAsia"/>
                <w:b/>
                <w:bCs/>
                <w:szCs w:val="21"/>
              </w:rPr>
              <w:t>单位</w:t>
            </w:r>
          </w:p>
        </w:tc>
        <w:tc>
          <w:tcPr>
            <w:tcW w:w="1236" w:type="dxa"/>
            <w:vAlign w:val="center"/>
          </w:tcPr>
          <w:p w14:paraId="01AAD1DF">
            <w:pPr>
              <w:spacing w:line="360" w:lineRule="auto"/>
              <w:jc w:val="center"/>
              <w:rPr>
                <w:rFonts w:hint="eastAsia"/>
                <w:b/>
                <w:bCs/>
                <w:szCs w:val="21"/>
              </w:rPr>
            </w:pPr>
            <w:r>
              <w:rPr>
                <w:rFonts w:hint="eastAsia"/>
                <w:b/>
                <w:bCs/>
                <w:szCs w:val="21"/>
              </w:rPr>
              <w:t>数量</w:t>
            </w:r>
          </w:p>
        </w:tc>
      </w:tr>
      <w:tr w14:paraId="7947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15" w:type="dxa"/>
            <w:vAlign w:val="center"/>
          </w:tcPr>
          <w:p w14:paraId="2C6C5B59">
            <w:pPr>
              <w:spacing w:line="360" w:lineRule="auto"/>
              <w:jc w:val="center"/>
              <w:rPr>
                <w:rFonts w:hint="eastAsia"/>
                <w:szCs w:val="21"/>
              </w:rPr>
            </w:pPr>
            <w:r>
              <w:rPr>
                <w:rFonts w:hint="eastAsia"/>
                <w:szCs w:val="21"/>
              </w:rPr>
              <w:t>1</w:t>
            </w:r>
          </w:p>
        </w:tc>
        <w:tc>
          <w:tcPr>
            <w:tcW w:w="4014" w:type="dxa"/>
            <w:vAlign w:val="center"/>
          </w:tcPr>
          <w:p w14:paraId="53F922EC">
            <w:pPr>
              <w:spacing w:line="360" w:lineRule="auto"/>
              <w:jc w:val="center"/>
              <w:rPr>
                <w:rFonts w:hint="eastAsia"/>
                <w:szCs w:val="21"/>
              </w:rPr>
            </w:pPr>
            <w:r>
              <w:rPr>
                <w:rFonts w:hint="eastAsia"/>
                <w:szCs w:val="21"/>
              </w:rPr>
              <w:t>传感器（含采集）核心产品</w:t>
            </w:r>
          </w:p>
        </w:tc>
        <w:tc>
          <w:tcPr>
            <w:tcW w:w="1473" w:type="dxa"/>
            <w:vAlign w:val="center"/>
          </w:tcPr>
          <w:p w14:paraId="17BD9D6A">
            <w:pPr>
              <w:spacing w:line="360" w:lineRule="auto"/>
              <w:jc w:val="center"/>
              <w:rPr>
                <w:rFonts w:hint="eastAsia"/>
                <w:szCs w:val="21"/>
              </w:rPr>
            </w:pPr>
            <w:r>
              <w:rPr>
                <w:rFonts w:hint="eastAsia"/>
                <w:szCs w:val="21"/>
              </w:rPr>
              <w:t>套</w:t>
            </w:r>
          </w:p>
        </w:tc>
        <w:tc>
          <w:tcPr>
            <w:tcW w:w="1236" w:type="dxa"/>
            <w:vAlign w:val="center"/>
          </w:tcPr>
          <w:p w14:paraId="604CB1A4">
            <w:pPr>
              <w:spacing w:line="360" w:lineRule="auto"/>
              <w:jc w:val="center"/>
              <w:rPr>
                <w:rFonts w:hint="eastAsia"/>
                <w:szCs w:val="21"/>
              </w:rPr>
            </w:pPr>
            <w:r>
              <w:rPr>
                <w:rFonts w:hint="eastAsia"/>
                <w:szCs w:val="21"/>
              </w:rPr>
              <w:t>1</w:t>
            </w:r>
          </w:p>
        </w:tc>
      </w:tr>
      <w:tr w14:paraId="7B2E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15" w:type="dxa"/>
            <w:vAlign w:val="center"/>
          </w:tcPr>
          <w:p w14:paraId="4FDE6B82">
            <w:pPr>
              <w:spacing w:line="360" w:lineRule="auto"/>
              <w:jc w:val="center"/>
              <w:rPr>
                <w:rFonts w:hint="eastAsia"/>
                <w:szCs w:val="21"/>
              </w:rPr>
            </w:pPr>
            <w:r>
              <w:rPr>
                <w:rFonts w:hint="eastAsia"/>
                <w:szCs w:val="21"/>
              </w:rPr>
              <w:t>2</w:t>
            </w:r>
          </w:p>
        </w:tc>
        <w:tc>
          <w:tcPr>
            <w:tcW w:w="4014" w:type="dxa"/>
            <w:vAlign w:val="center"/>
          </w:tcPr>
          <w:p w14:paraId="22CF392A">
            <w:pPr>
              <w:spacing w:line="360" w:lineRule="auto"/>
              <w:jc w:val="center"/>
              <w:rPr>
                <w:rFonts w:hint="eastAsia"/>
                <w:szCs w:val="21"/>
              </w:rPr>
            </w:pPr>
            <w:r>
              <w:rPr>
                <w:rFonts w:hint="eastAsia"/>
                <w:szCs w:val="21"/>
              </w:rPr>
              <w:t>数据集成与传输</w:t>
            </w:r>
          </w:p>
        </w:tc>
        <w:tc>
          <w:tcPr>
            <w:tcW w:w="1473" w:type="dxa"/>
            <w:vAlign w:val="center"/>
          </w:tcPr>
          <w:p w14:paraId="02D0B90F">
            <w:pPr>
              <w:spacing w:line="360" w:lineRule="auto"/>
              <w:jc w:val="center"/>
              <w:rPr>
                <w:rFonts w:hint="eastAsia"/>
                <w:szCs w:val="21"/>
              </w:rPr>
            </w:pPr>
            <w:r>
              <w:rPr>
                <w:rFonts w:hint="eastAsia"/>
                <w:szCs w:val="21"/>
              </w:rPr>
              <w:t>套</w:t>
            </w:r>
          </w:p>
        </w:tc>
        <w:tc>
          <w:tcPr>
            <w:tcW w:w="1236" w:type="dxa"/>
            <w:vAlign w:val="center"/>
          </w:tcPr>
          <w:p w14:paraId="1C581BCA">
            <w:pPr>
              <w:spacing w:line="360" w:lineRule="auto"/>
              <w:jc w:val="center"/>
              <w:rPr>
                <w:rFonts w:hint="eastAsia"/>
                <w:szCs w:val="21"/>
              </w:rPr>
            </w:pPr>
            <w:r>
              <w:rPr>
                <w:rFonts w:hint="eastAsia"/>
                <w:szCs w:val="21"/>
              </w:rPr>
              <w:t>1</w:t>
            </w:r>
          </w:p>
        </w:tc>
      </w:tr>
      <w:tr w14:paraId="4159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15" w:type="dxa"/>
            <w:vAlign w:val="center"/>
          </w:tcPr>
          <w:p w14:paraId="4EC9F3AC">
            <w:pPr>
              <w:spacing w:line="360" w:lineRule="auto"/>
              <w:jc w:val="center"/>
              <w:rPr>
                <w:rFonts w:hint="eastAsia"/>
                <w:szCs w:val="21"/>
              </w:rPr>
            </w:pPr>
            <w:r>
              <w:rPr>
                <w:rFonts w:hint="eastAsia"/>
                <w:szCs w:val="21"/>
              </w:rPr>
              <w:t>3</w:t>
            </w:r>
          </w:p>
        </w:tc>
        <w:tc>
          <w:tcPr>
            <w:tcW w:w="4014" w:type="dxa"/>
            <w:vAlign w:val="center"/>
          </w:tcPr>
          <w:p w14:paraId="3495E2D4">
            <w:pPr>
              <w:spacing w:line="360" w:lineRule="auto"/>
              <w:jc w:val="center"/>
              <w:rPr>
                <w:rFonts w:hint="eastAsia"/>
                <w:szCs w:val="21"/>
              </w:rPr>
            </w:pPr>
            <w:r>
              <w:rPr>
                <w:rFonts w:hint="eastAsia"/>
                <w:szCs w:val="21"/>
              </w:rPr>
              <w:t>平台展示</w:t>
            </w:r>
          </w:p>
        </w:tc>
        <w:tc>
          <w:tcPr>
            <w:tcW w:w="1473" w:type="dxa"/>
            <w:vAlign w:val="center"/>
          </w:tcPr>
          <w:p w14:paraId="752BB495">
            <w:pPr>
              <w:spacing w:line="360" w:lineRule="auto"/>
              <w:jc w:val="center"/>
              <w:rPr>
                <w:rFonts w:hint="eastAsia"/>
                <w:szCs w:val="21"/>
              </w:rPr>
            </w:pPr>
            <w:r>
              <w:rPr>
                <w:rFonts w:hint="eastAsia"/>
                <w:szCs w:val="21"/>
              </w:rPr>
              <w:t>套</w:t>
            </w:r>
          </w:p>
        </w:tc>
        <w:tc>
          <w:tcPr>
            <w:tcW w:w="1236" w:type="dxa"/>
            <w:vAlign w:val="center"/>
          </w:tcPr>
          <w:p w14:paraId="28BBA29B">
            <w:pPr>
              <w:spacing w:line="360" w:lineRule="auto"/>
              <w:jc w:val="center"/>
              <w:rPr>
                <w:rFonts w:hint="eastAsia"/>
                <w:szCs w:val="21"/>
              </w:rPr>
            </w:pPr>
            <w:r>
              <w:rPr>
                <w:rFonts w:hint="eastAsia"/>
                <w:szCs w:val="21"/>
              </w:rPr>
              <w:t>1</w:t>
            </w:r>
          </w:p>
        </w:tc>
      </w:tr>
      <w:tr w14:paraId="16F8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302" w:type="dxa"/>
            <w:gridSpan w:val="3"/>
            <w:vAlign w:val="center"/>
          </w:tcPr>
          <w:p w14:paraId="2CF8F431">
            <w:pPr>
              <w:spacing w:line="360" w:lineRule="auto"/>
              <w:jc w:val="center"/>
              <w:rPr>
                <w:rFonts w:hint="eastAsia"/>
                <w:szCs w:val="21"/>
              </w:rPr>
            </w:pPr>
            <w:r>
              <w:rPr>
                <w:rFonts w:hint="eastAsia"/>
                <w:szCs w:val="21"/>
              </w:rPr>
              <w:t>合计</w:t>
            </w:r>
          </w:p>
        </w:tc>
        <w:tc>
          <w:tcPr>
            <w:tcW w:w="1236" w:type="dxa"/>
            <w:vAlign w:val="center"/>
          </w:tcPr>
          <w:p w14:paraId="65BCCC59">
            <w:pPr>
              <w:spacing w:line="360" w:lineRule="auto"/>
              <w:jc w:val="center"/>
              <w:rPr>
                <w:rFonts w:hint="eastAsia"/>
                <w:szCs w:val="21"/>
              </w:rPr>
            </w:pPr>
            <w:r>
              <w:rPr>
                <w:rFonts w:hint="eastAsia"/>
                <w:szCs w:val="21"/>
              </w:rPr>
              <w:t>3</w:t>
            </w:r>
          </w:p>
        </w:tc>
      </w:tr>
    </w:tbl>
    <w:p w14:paraId="50131432">
      <w:pPr>
        <w:spacing w:before="156" w:beforeLines="50" w:line="360" w:lineRule="auto"/>
        <w:ind w:firstLine="420" w:firstLineChars="200"/>
        <w:rPr>
          <w:rFonts w:hint="eastAsia"/>
          <w:szCs w:val="21"/>
        </w:rPr>
      </w:pPr>
      <w:r>
        <w:rPr>
          <w:rFonts w:hint="eastAsia"/>
          <w:szCs w:val="21"/>
        </w:rPr>
        <w:t>系统内主要传感器设备如下表所示：</w:t>
      </w:r>
    </w:p>
    <w:tbl>
      <w:tblPr>
        <w:tblStyle w:val="23"/>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548"/>
        <w:gridCol w:w="2425"/>
        <w:gridCol w:w="916"/>
        <w:gridCol w:w="1008"/>
        <w:gridCol w:w="1078"/>
      </w:tblGrid>
      <w:tr w14:paraId="0C33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jc w:val="center"/>
        </w:trPr>
        <w:tc>
          <w:tcPr>
            <w:tcW w:w="642" w:type="dxa"/>
            <w:vAlign w:val="center"/>
          </w:tcPr>
          <w:p w14:paraId="06FAAEAA">
            <w:pPr>
              <w:spacing w:line="360" w:lineRule="auto"/>
              <w:jc w:val="center"/>
              <w:rPr>
                <w:rFonts w:hint="eastAsia"/>
                <w:b/>
                <w:bCs/>
                <w:szCs w:val="21"/>
              </w:rPr>
            </w:pPr>
            <w:r>
              <w:rPr>
                <w:rFonts w:hint="eastAsia"/>
                <w:b/>
                <w:bCs/>
                <w:szCs w:val="21"/>
              </w:rPr>
              <w:t>序号</w:t>
            </w:r>
          </w:p>
        </w:tc>
        <w:tc>
          <w:tcPr>
            <w:tcW w:w="1548" w:type="dxa"/>
            <w:vAlign w:val="center"/>
          </w:tcPr>
          <w:p w14:paraId="5A0B63D5">
            <w:pPr>
              <w:spacing w:line="360" w:lineRule="auto"/>
              <w:jc w:val="center"/>
              <w:rPr>
                <w:rFonts w:hint="eastAsia"/>
                <w:b/>
                <w:bCs/>
                <w:szCs w:val="21"/>
              </w:rPr>
            </w:pPr>
            <w:r>
              <w:rPr>
                <w:rFonts w:hint="eastAsia"/>
                <w:b/>
                <w:bCs/>
                <w:szCs w:val="21"/>
              </w:rPr>
              <w:t>监测内容</w:t>
            </w:r>
          </w:p>
        </w:tc>
        <w:tc>
          <w:tcPr>
            <w:tcW w:w="2425" w:type="dxa"/>
            <w:vAlign w:val="center"/>
          </w:tcPr>
          <w:p w14:paraId="0201C570">
            <w:pPr>
              <w:spacing w:line="360" w:lineRule="auto"/>
              <w:jc w:val="center"/>
              <w:rPr>
                <w:rFonts w:hint="eastAsia"/>
                <w:b/>
                <w:bCs/>
                <w:szCs w:val="21"/>
              </w:rPr>
            </w:pPr>
            <w:r>
              <w:rPr>
                <w:rFonts w:hint="eastAsia"/>
                <w:b/>
                <w:bCs/>
                <w:szCs w:val="21"/>
              </w:rPr>
              <w:t>监测设备</w:t>
            </w:r>
          </w:p>
        </w:tc>
        <w:tc>
          <w:tcPr>
            <w:tcW w:w="916" w:type="dxa"/>
            <w:vAlign w:val="center"/>
          </w:tcPr>
          <w:p w14:paraId="1900121C">
            <w:pPr>
              <w:spacing w:line="360" w:lineRule="auto"/>
              <w:jc w:val="center"/>
              <w:rPr>
                <w:rFonts w:hint="eastAsia"/>
                <w:b/>
                <w:bCs/>
                <w:szCs w:val="21"/>
              </w:rPr>
            </w:pPr>
            <w:r>
              <w:rPr>
                <w:rFonts w:hint="eastAsia"/>
                <w:b/>
                <w:bCs/>
                <w:szCs w:val="21"/>
              </w:rPr>
              <w:t>单位</w:t>
            </w:r>
          </w:p>
        </w:tc>
        <w:tc>
          <w:tcPr>
            <w:tcW w:w="1008" w:type="dxa"/>
            <w:vAlign w:val="center"/>
          </w:tcPr>
          <w:p w14:paraId="32C38D66">
            <w:pPr>
              <w:spacing w:line="360" w:lineRule="auto"/>
              <w:jc w:val="center"/>
              <w:rPr>
                <w:rFonts w:hint="eastAsia"/>
                <w:b/>
                <w:bCs/>
                <w:szCs w:val="21"/>
              </w:rPr>
            </w:pPr>
            <w:r>
              <w:rPr>
                <w:rFonts w:hint="eastAsia"/>
                <w:b/>
                <w:bCs/>
                <w:szCs w:val="21"/>
              </w:rPr>
              <w:t>数量</w:t>
            </w:r>
          </w:p>
        </w:tc>
        <w:tc>
          <w:tcPr>
            <w:tcW w:w="1078" w:type="dxa"/>
            <w:vAlign w:val="center"/>
          </w:tcPr>
          <w:p w14:paraId="131448A4">
            <w:pPr>
              <w:spacing w:line="360" w:lineRule="auto"/>
              <w:jc w:val="center"/>
              <w:rPr>
                <w:rFonts w:hint="eastAsia"/>
                <w:b/>
                <w:bCs/>
                <w:szCs w:val="21"/>
              </w:rPr>
            </w:pPr>
            <w:r>
              <w:rPr>
                <w:rFonts w:hint="eastAsia"/>
                <w:b/>
                <w:bCs/>
                <w:szCs w:val="21"/>
              </w:rPr>
              <w:t>备注</w:t>
            </w:r>
          </w:p>
        </w:tc>
      </w:tr>
      <w:tr w14:paraId="53B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2CD376C7">
            <w:pPr>
              <w:spacing w:line="360" w:lineRule="auto"/>
              <w:jc w:val="center"/>
              <w:rPr>
                <w:rFonts w:hint="eastAsia"/>
                <w:szCs w:val="21"/>
              </w:rPr>
            </w:pPr>
            <w:r>
              <w:rPr>
                <w:rFonts w:hint="eastAsia"/>
                <w:szCs w:val="21"/>
              </w:rPr>
              <w:t>1</w:t>
            </w:r>
          </w:p>
        </w:tc>
        <w:tc>
          <w:tcPr>
            <w:tcW w:w="1548" w:type="dxa"/>
            <w:vAlign w:val="center"/>
          </w:tcPr>
          <w:p w14:paraId="47806AF6">
            <w:pPr>
              <w:spacing w:line="360" w:lineRule="auto"/>
              <w:jc w:val="center"/>
              <w:rPr>
                <w:rFonts w:hint="eastAsia"/>
                <w:szCs w:val="21"/>
              </w:rPr>
            </w:pPr>
            <w:r>
              <w:rPr>
                <w:rFonts w:hint="eastAsia"/>
                <w:szCs w:val="21"/>
              </w:rPr>
              <w:t>温湿度</w:t>
            </w:r>
          </w:p>
        </w:tc>
        <w:tc>
          <w:tcPr>
            <w:tcW w:w="2425" w:type="dxa"/>
            <w:vAlign w:val="center"/>
          </w:tcPr>
          <w:p w14:paraId="249441D3">
            <w:pPr>
              <w:pStyle w:val="34"/>
              <w:widowControl w:val="0"/>
              <w:spacing w:line="360" w:lineRule="auto"/>
              <w:rPr>
                <w:rFonts w:hint="eastAsia" w:ascii="宋体" w:hAnsi="宋体" w:cs="宋体"/>
                <w:szCs w:val="21"/>
              </w:rPr>
            </w:pPr>
            <w:r>
              <w:rPr>
                <w:rFonts w:hint="eastAsia" w:ascii="宋体" w:hAnsi="宋体" w:cs="宋体"/>
                <w:szCs w:val="21"/>
              </w:rPr>
              <w:t>温湿度计</w:t>
            </w:r>
          </w:p>
        </w:tc>
        <w:tc>
          <w:tcPr>
            <w:tcW w:w="916" w:type="dxa"/>
            <w:vAlign w:val="center"/>
          </w:tcPr>
          <w:p w14:paraId="66AE090D">
            <w:pPr>
              <w:pStyle w:val="34"/>
              <w:widowControl w:val="0"/>
              <w:spacing w:line="360" w:lineRule="auto"/>
              <w:rPr>
                <w:rFonts w:hint="eastAsia" w:ascii="宋体" w:hAnsi="宋体" w:cs="宋体"/>
                <w:szCs w:val="21"/>
              </w:rPr>
            </w:pPr>
            <w:r>
              <w:rPr>
                <w:rFonts w:hint="eastAsia" w:ascii="宋体" w:hAnsi="宋体" w:cs="宋体"/>
                <w:szCs w:val="21"/>
              </w:rPr>
              <w:t>台</w:t>
            </w:r>
          </w:p>
        </w:tc>
        <w:tc>
          <w:tcPr>
            <w:tcW w:w="1008" w:type="dxa"/>
            <w:vAlign w:val="center"/>
          </w:tcPr>
          <w:p w14:paraId="3D9E29EA">
            <w:pPr>
              <w:spacing w:line="360" w:lineRule="auto"/>
              <w:jc w:val="center"/>
              <w:rPr>
                <w:rFonts w:hint="eastAsia"/>
                <w:szCs w:val="21"/>
              </w:rPr>
            </w:pPr>
            <w:r>
              <w:rPr>
                <w:rFonts w:hint="eastAsia"/>
                <w:szCs w:val="21"/>
              </w:rPr>
              <w:t>4</w:t>
            </w:r>
          </w:p>
        </w:tc>
        <w:tc>
          <w:tcPr>
            <w:tcW w:w="1078" w:type="dxa"/>
            <w:vAlign w:val="center"/>
          </w:tcPr>
          <w:p w14:paraId="77BAC8F3">
            <w:pPr>
              <w:pStyle w:val="34"/>
              <w:widowControl w:val="0"/>
              <w:spacing w:line="360" w:lineRule="auto"/>
              <w:rPr>
                <w:rFonts w:hint="eastAsia" w:ascii="宋体" w:hAnsi="宋体" w:cs="宋体"/>
                <w:szCs w:val="21"/>
              </w:rPr>
            </w:pPr>
          </w:p>
        </w:tc>
      </w:tr>
      <w:tr w14:paraId="28AC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718DE575">
            <w:pPr>
              <w:spacing w:line="360" w:lineRule="auto"/>
              <w:jc w:val="center"/>
              <w:rPr>
                <w:rFonts w:hint="eastAsia"/>
                <w:szCs w:val="21"/>
              </w:rPr>
            </w:pPr>
            <w:r>
              <w:rPr>
                <w:rFonts w:hint="eastAsia"/>
                <w:szCs w:val="21"/>
              </w:rPr>
              <w:t>2</w:t>
            </w:r>
          </w:p>
        </w:tc>
        <w:tc>
          <w:tcPr>
            <w:tcW w:w="1548" w:type="dxa"/>
            <w:vAlign w:val="center"/>
          </w:tcPr>
          <w:p w14:paraId="6BA8BFEC">
            <w:pPr>
              <w:spacing w:line="360" w:lineRule="auto"/>
              <w:jc w:val="center"/>
              <w:rPr>
                <w:rFonts w:hint="eastAsia"/>
                <w:szCs w:val="21"/>
              </w:rPr>
            </w:pPr>
            <w:r>
              <w:rPr>
                <w:rFonts w:hint="eastAsia"/>
                <w:szCs w:val="21"/>
              </w:rPr>
              <w:t>降雨量</w:t>
            </w:r>
          </w:p>
        </w:tc>
        <w:tc>
          <w:tcPr>
            <w:tcW w:w="2425" w:type="dxa"/>
            <w:vAlign w:val="center"/>
          </w:tcPr>
          <w:p w14:paraId="43D7BBD7">
            <w:pPr>
              <w:pStyle w:val="34"/>
              <w:widowControl w:val="0"/>
              <w:spacing w:line="360" w:lineRule="auto"/>
              <w:rPr>
                <w:rFonts w:hint="eastAsia" w:ascii="宋体" w:hAnsi="宋体" w:cs="宋体"/>
                <w:szCs w:val="21"/>
              </w:rPr>
            </w:pPr>
            <w:r>
              <w:rPr>
                <w:rFonts w:hint="eastAsia" w:ascii="宋体" w:hAnsi="宋体" w:cs="宋体"/>
                <w:szCs w:val="21"/>
              </w:rPr>
              <w:t>雨量计</w:t>
            </w:r>
          </w:p>
        </w:tc>
        <w:tc>
          <w:tcPr>
            <w:tcW w:w="916" w:type="dxa"/>
            <w:vAlign w:val="center"/>
          </w:tcPr>
          <w:p w14:paraId="464E11BA">
            <w:pPr>
              <w:pStyle w:val="34"/>
              <w:widowControl w:val="0"/>
              <w:spacing w:line="360" w:lineRule="auto"/>
              <w:rPr>
                <w:rFonts w:hint="eastAsia" w:ascii="宋体" w:hAnsi="宋体" w:cs="宋体"/>
                <w:szCs w:val="21"/>
              </w:rPr>
            </w:pPr>
            <w:r>
              <w:rPr>
                <w:rFonts w:hint="eastAsia" w:ascii="宋体" w:hAnsi="宋体" w:cs="宋体"/>
                <w:szCs w:val="21"/>
              </w:rPr>
              <w:t>台</w:t>
            </w:r>
          </w:p>
        </w:tc>
        <w:tc>
          <w:tcPr>
            <w:tcW w:w="1008" w:type="dxa"/>
            <w:vAlign w:val="center"/>
          </w:tcPr>
          <w:p w14:paraId="3C0AF89E">
            <w:pPr>
              <w:spacing w:line="360" w:lineRule="auto"/>
              <w:jc w:val="center"/>
              <w:rPr>
                <w:rFonts w:hint="eastAsia"/>
                <w:szCs w:val="21"/>
              </w:rPr>
            </w:pPr>
            <w:r>
              <w:rPr>
                <w:rFonts w:hint="eastAsia"/>
                <w:szCs w:val="21"/>
              </w:rPr>
              <w:t>1</w:t>
            </w:r>
          </w:p>
        </w:tc>
        <w:tc>
          <w:tcPr>
            <w:tcW w:w="1078" w:type="dxa"/>
            <w:vAlign w:val="center"/>
          </w:tcPr>
          <w:p w14:paraId="0BF09C65">
            <w:pPr>
              <w:pStyle w:val="34"/>
              <w:widowControl w:val="0"/>
              <w:spacing w:line="360" w:lineRule="auto"/>
              <w:rPr>
                <w:rFonts w:hint="eastAsia" w:ascii="宋体" w:hAnsi="宋体" w:cs="宋体"/>
                <w:szCs w:val="21"/>
              </w:rPr>
            </w:pPr>
          </w:p>
        </w:tc>
      </w:tr>
      <w:tr w14:paraId="01F3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7C60E4EB">
            <w:pPr>
              <w:spacing w:line="360" w:lineRule="auto"/>
              <w:jc w:val="center"/>
              <w:rPr>
                <w:rFonts w:hint="eastAsia"/>
                <w:szCs w:val="21"/>
              </w:rPr>
            </w:pPr>
            <w:r>
              <w:rPr>
                <w:rFonts w:hint="eastAsia"/>
                <w:szCs w:val="21"/>
              </w:rPr>
              <w:t>3</w:t>
            </w:r>
          </w:p>
        </w:tc>
        <w:tc>
          <w:tcPr>
            <w:tcW w:w="1548" w:type="dxa"/>
            <w:vMerge w:val="restart"/>
            <w:vAlign w:val="center"/>
          </w:tcPr>
          <w:p w14:paraId="2C3B1817">
            <w:pPr>
              <w:spacing w:line="360" w:lineRule="auto"/>
              <w:jc w:val="center"/>
              <w:rPr>
                <w:rFonts w:hint="eastAsia"/>
                <w:szCs w:val="21"/>
              </w:rPr>
            </w:pPr>
            <w:r>
              <w:rPr>
                <w:rFonts w:hint="eastAsia"/>
                <w:szCs w:val="21"/>
              </w:rPr>
              <w:t>强震动</w:t>
            </w:r>
          </w:p>
        </w:tc>
        <w:tc>
          <w:tcPr>
            <w:tcW w:w="2425" w:type="dxa"/>
            <w:vAlign w:val="center"/>
          </w:tcPr>
          <w:p w14:paraId="7217E2A0">
            <w:pPr>
              <w:pStyle w:val="34"/>
              <w:widowControl w:val="0"/>
              <w:spacing w:line="360" w:lineRule="auto"/>
              <w:rPr>
                <w:rFonts w:hint="eastAsia" w:ascii="宋体" w:hAnsi="宋体" w:cs="宋体"/>
                <w:szCs w:val="21"/>
              </w:rPr>
            </w:pPr>
            <w:r>
              <w:rPr>
                <w:rFonts w:hint="eastAsia" w:ascii="宋体" w:hAnsi="宋体" w:cs="宋体"/>
                <w:szCs w:val="21"/>
              </w:rPr>
              <w:t>一体化强震仪</w:t>
            </w:r>
          </w:p>
        </w:tc>
        <w:tc>
          <w:tcPr>
            <w:tcW w:w="916" w:type="dxa"/>
            <w:vAlign w:val="center"/>
          </w:tcPr>
          <w:p w14:paraId="195DFDC7">
            <w:pPr>
              <w:spacing w:line="360" w:lineRule="auto"/>
              <w:jc w:val="center"/>
              <w:rPr>
                <w:rFonts w:hint="eastAsia"/>
                <w:szCs w:val="21"/>
              </w:rPr>
            </w:pPr>
            <w:r>
              <w:rPr>
                <w:rFonts w:hint="eastAsia"/>
                <w:szCs w:val="21"/>
              </w:rPr>
              <w:t>台</w:t>
            </w:r>
          </w:p>
        </w:tc>
        <w:tc>
          <w:tcPr>
            <w:tcW w:w="1008" w:type="dxa"/>
            <w:vAlign w:val="center"/>
          </w:tcPr>
          <w:p w14:paraId="45DD7344">
            <w:pPr>
              <w:spacing w:line="360" w:lineRule="auto"/>
              <w:jc w:val="center"/>
              <w:rPr>
                <w:rFonts w:hint="eastAsia"/>
                <w:szCs w:val="21"/>
              </w:rPr>
            </w:pPr>
            <w:r>
              <w:rPr>
                <w:rFonts w:hint="eastAsia"/>
                <w:szCs w:val="21"/>
              </w:rPr>
              <w:t>6</w:t>
            </w:r>
          </w:p>
        </w:tc>
        <w:tc>
          <w:tcPr>
            <w:tcW w:w="1078" w:type="dxa"/>
            <w:vAlign w:val="center"/>
          </w:tcPr>
          <w:p w14:paraId="5B9BC57A">
            <w:pPr>
              <w:spacing w:line="360" w:lineRule="auto"/>
              <w:jc w:val="center"/>
              <w:rPr>
                <w:rFonts w:hint="eastAsia"/>
                <w:szCs w:val="21"/>
              </w:rPr>
            </w:pPr>
          </w:p>
        </w:tc>
      </w:tr>
      <w:tr w14:paraId="5659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004C199E">
            <w:pPr>
              <w:spacing w:line="360" w:lineRule="auto"/>
              <w:jc w:val="center"/>
              <w:rPr>
                <w:rFonts w:hint="eastAsia"/>
                <w:szCs w:val="21"/>
              </w:rPr>
            </w:pPr>
            <w:r>
              <w:rPr>
                <w:rFonts w:hint="eastAsia"/>
                <w:szCs w:val="21"/>
              </w:rPr>
              <w:t>4</w:t>
            </w:r>
          </w:p>
        </w:tc>
        <w:tc>
          <w:tcPr>
            <w:tcW w:w="1548" w:type="dxa"/>
            <w:vMerge w:val="continue"/>
            <w:vAlign w:val="center"/>
          </w:tcPr>
          <w:p w14:paraId="027F7AAD">
            <w:pPr>
              <w:spacing w:line="360" w:lineRule="auto"/>
              <w:jc w:val="center"/>
              <w:rPr>
                <w:rFonts w:hint="eastAsia"/>
                <w:szCs w:val="21"/>
              </w:rPr>
            </w:pPr>
          </w:p>
        </w:tc>
        <w:tc>
          <w:tcPr>
            <w:tcW w:w="2425" w:type="dxa"/>
            <w:vAlign w:val="center"/>
          </w:tcPr>
          <w:p w14:paraId="6F91F2C4">
            <w:pPr>
              <w:pStyle w:val="34"/>
              <w:widowControl w:val="0"/>
              <w:spacing w:line="360" w:lineRule="auto"/>
              <w:rPr>
                <w:rFonts w:hint="eastAsia" w:ascii="宋体" w:hAnsi="宋体" w:cs="宋体"/>
                <w:szCs w:val="21"/>
              </w:rPr>
            </w:pPr>
            <w:r>
              <w:rPr>
                <w:rFonts w:hint="eastAsia" w:ascii="宋体" w:hAnsi="宋体" w:cs="宋体"/>
                <w:szCs w:val="21"/>
              </w:rPr>
              <w:t>MEMS数字强震仪</w:t>
            </w:r>
          </w:p>
        </w:tc>
        <w:tc>
          <w:tcPr>
            <w:tcW w:w="916" w:type="dxa"/>
            <w:vAlign w:val="center"/>
          </w:tcPr>
          <w:p w14:paraId="4D1B346F">
            <w:pPr>
              <w:spacing w:line="360" w:lineRule="auto"/>
              <w:jc w:val="center"/>
              <w:rPr>
                <w:rFonts w:hint="eastAsia"/>
                <w:szCs w:val="21"/>
              </w:rPr>
            </w:pPr>
            <w:r>
              <w:rPr>
                <w:rFonts w:hint="eastAsia"/>
                <w:szCs w:val="21"/>
              </w:rPr>
              <w:t>台</w:t>
            </w:r>
          </w:p>
        </w:tc>
        <w:tc>
          <w:tcPr>
            <w:tcW w:w="1008" w:type="dxa"/>
            <w:vAlign w:val="center"/>
          </w:tcPr>
          <w:p w14:paraId="27B76CC1">
            <w:pPr>
              <w:spacing w:line="360" w:lineRule="auto"/>
              <w:jc w:val="center"/>
              <w:rPr>
                <w:rFonts w:hint="eastAsia"/>
                <w:szCs w:val="21"/>
              </w:rPr>
            </w:pPr>
            <w:r>
              <w:rPr>
                <w:rFonts w:hint="eastAsia"/>
                <w:szCs w:val="21"/>
              </w:rPr>
              <w:t>5</w:t>
            </w:r>
          </w:p>
        </w:tc>
        <w:tc>
          <w:tcPr>
            <w:tcW w:w="1078" w:type="dxa"/>
            <w:vAlign w:val="center"/>
          </w:tcPr>
          <w:p w14:paraId="42D3E734">
            <w:pPr>
              <w:spacing w:line="360" w:lineRule="auto"/>
              <w:jc w:val="center"/>
              <w:rPr>
                <w:rFonts w:hint="eastAsia"/>
                <w:szCs w:val="21"/>
              </w:rPr>
            </w:pPr>
          </w:p>
        </w:tc>
      </w:tr>
      <w:tr w14:paraId="174D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44958E7C">
            <w:pPr>
              <w:spacing w:line="360" w:lineRule="auto"/>
              <w:jc w:val="center"/>
              <w:rPr>
                <w:rFonts w:hint="eastAsia"/>
                <w:szCs w:val="21"/>
              </w:rPr>
            </w:pPr>
            <w:r>
              <w:rPr>
                <w:rFonts w:hint="eastAsia"/>
                <w:szCs w:val="21"/>
              </w:rPr>
              <w:t>5</w:t>
            </w:r>
          </w:p>
        </w:tc>
        <w:tc>
          <w:tcPr>
            <w:tcW w:w="1548" w:type="dxa"/>
            <w:vAlign w:val="center"/>
          </w:tcPr>
          <w:p w14:paraId="38880CFB">
            <w:pPr>
              <w:spacing w:line="360" w:lineRule="auto"/>
              <w:jc w:val="center"/>
              <w:rPr>
                <w:rFonts w:hint="eastAsia"/>
                <w:szCs w:val="21"/>
              </w:rPr>
            </w:pPr>
            <w:r>
              <w:rPr>
                <w:rFonts w:hint="eastAsia"/>
                <w:szCs w:val="21"/>
              </w:rPr>
              <w:t>风速风向</w:t>
            </w:r>
          </w:p>
        </w:tc>
        <w:tc>
          <w:tcPr>
            <w:tcW w:w="2425" w:type="dxa"/>
            <w:vAlign w:val="center"/>
          </w:tcPr>
          <w:p w14:paraId="5666BC2B">
            <w:pPr>
              <w:pStyle w:val="34"/>
              <w:widowControl w:val="0"/>
              <w:spacing w:line="360" w:lineRule="auto"/>
              <w:rPr>
                <w:rFonts w:hint="eastAsia" w:ascii="宋体" w:hAnsi="宋体" w:cs="宋体"/>
                <w:szCs w:val="21"/>
              </w:rPr>
            </w:pPr>
            <w:r>
              <w:rPr>
                <w:rFonts w:hint="eastAsia" w:ascii="宋体" w:hAnsi="宋体" w:cs="宋体"/>
                <w:szCs w:val="21"/>
              </w:rPr>
              <w:t>超声风速仪</w:t>
            </w:r>
          </w:p>
        </w:tc>
        <w:tc>
          <w:tcPr>
            <w:tcW w:w="916" w:type="dxa"/>
            <w:vAlign w:val="center"/>
          </w:tcPr>
          <w:p w14:paraId="3E4DA64C">
            <w:pPr>
              <w:spacing w:line="360" w:lineRule="auto"/>
              <w:jc w:val="center"/>
              <w:rPr>
                <w:rFonts w:hint="eastAsia"/>
                <w:szCs w:val="21"/>
              </w:rPr>
            </w:pPr>
            <w:r>
              <w:rPr>
                <w:rFonts w:hint="eastAsia"/>
                <w:szCs w:val="21"/>
              </w:rPr>
              <w:t>台</w:t>
            </w:r>
          </w:p>
        </w:tc>
        <w:tc>
          <w:tcPr>
            <w:tcW w:w="1008" w:type="dxa"/>
            <w:vAlign w:val="center"/>
          </w:tcPr>
          <w:p w14:paraId="43F181EF">
            <w:pPr>
              <w:spacing w:line="360" w:lineRule="auto"/>
              <w:jc w:val="center"/>
              <w:rPr>
                <w:rFonts w:hint="eastAsia"/>
                <w:szCs w:val="21"/>
              </w:rPr>
            </w:pPr>
            <w:r>
              <w:rPr>
                <w:rFonts w:hint="eastAsia"/>
                <w:szCs w:val="21"/>
              </w:rPr>
              <w:t>1</w:t>
            </w:r>
          </w:p>
        </w:tc>
        <w:tc>
          <w:tcPr>
            <w:tcW w:w="1078" w:type="dxa"/>
            <w:vAlign w:val="center"/>
          </w:tcPr>
          <w:p w14:paraId="23127CE0">
            <w:pPr>
              <w:spacing w:line="360" w:lineRule="auto"/>
              <w:jc w:val="center"/>
              <w:rPr>
                <w:rFonts w:hint="eastAsia"/>
                <w:szCs w:val="21"/>
              </w:rPr>
            </w:pPr>
          </w:p>
        </w:tc>
      </w:tr>
      <w:tr w14:paraId="2E4E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0FC40319">
            <w:pPr>
              <w:spacing w:line="360" w:lineRule="auto"/>
              <w:jc w:val="center"/>
              <w:rPr>
                <w:rFonts w:hint="eastAsia"/>
                <w:szCs w:val="21"/>
              </w:rPr>
            </w:pPr>
            <w:r>
              <w:rPr>
                <w:rFonts w:hint="eastAsia"/>
                <w:szCs w:val="21"/>
              </w:rPr>
              <w:t>6</w:t>
            </w:r>
          </w:p>
        </w:tc>
        <w:tc>
          <w:tcPr>
            <w:tcW w:w="1548" w:type="dxa"/>
            <w:vAlign w:val="center"/>
          </w:tcPr>
          <w:p w14:paraId="6DB794B8">
            <w:pPr>
              <w:spacing w:line="360" w:lineRule="auto"/>
              <w:jc w:val="center"/>
              <w:rPr>
                <w:rFonts w:hint="eastAsia"/>
                <w:szCs w:val="21"/>
              </w:rPr>
            </w:pPr>
            <w:r>
              <w:rPr>
                <w:rFonts w:hint="eastAsia"/>
                <w:szCs w:val="21"/>
              </w:rPr>
              <w:t>视频监控</w:t>
            </w:r>
          </w:p>
        </w:tc>
        <w:tc>
          <w:tcPr>
            <w:tcW w:w="2425" w:type="dxa"/>
            <w:vAlign w:val="center"/>
          </w:tcPr>
          <w:p w14:paraId="36D1515A">
            <w:pPr>
              <w:pStyle w:val="34"/>
              <w:widowControl w:val="0"/>
              <w:spacing w:line="360" w:lineRule="auto"/>
              <w:rPr>
                <w:rFonts w:hint="eastAsia" w:ascii="宋体" w:hAnsi="宋体" w:cs="宋体"/>
                <w:szCs w:val="21"/>
              </w:rPr>
            </w:pPr>
            <w:r>
              <w:rPr>
                <w:rFonts w:hint="eastAsia" w:ascii="宋体" w:hAnsi="宋体" w:cs="宋体"/>
                <w:szCs w:val="21"/>
              </w:rPr>
              <w:t>球形摄像机</w:t>
            </w:r>
          </w:p>
        </w:tc>
        <w:tc>
          <w:tcPr>
            <w:tcW w:w="916" w:type="dxa"/>
            <w:vAlign w:val="center"/>
          </w:tcPr>
          <w:p w14:paraId="172AC2F0">
            <w:pPr>
              <w:spacing w:line="360" w:lineRule="auto"/>
              <w:jc w:val="center"/>
              <w:rPr>
                <w:rFonts w:hint="eastAsia"/>
                <w:szCs w:val="21"/>
              </w:rPr>
            </w:pPr>
            <w:r>
              <w:rPr>
                <w:rFonts w:hint="eastAsia"/>
                <w:szCs w:val="21"/>
              </w:rPr>
              <w:t>台</w:t>
            </w:r>
          </w:p>
        </w:tc>
        <w:tc>
          <w:tcPr>
            <w:tcW w:w="1008" w:type="dxa"/>
            <w:vAlign w:val="center"/>
          </w:tcPr>
          <w:p w14:paraId="5E853179">
            <w:pPr>
              <w:spacing w:line="360" w:lineRule="auto"/>
              <w:jc w:val="center"/>
              <w:rPr>
                <w:rFonts w:hint="eastAsia"/>
                <w:szCs w:val="21"/>
              </w:rPr>
            </w:pPr>
            <w:r>
              <w:rPr>
                <w:rFonts w:hint="eastAsia"/>
                <w:szCs w:val="21"/>
              </w:rPr>
              <w:t>4</w:t>
            </w:r>
          </w:p>
        </w:tc>
        <w:tc>
          <w:tcPr>
            <w:tcW w:w="1078" w:type="dxa"/>
            <w:vAlign w:val="center"/>
          </w:tcPr>
          <w:p w14:paraId="36C7E951">
            <w:pPr>
              <w:spacing w:line="360" w:lineRule="auto"/>
              <w:jc w:val="center"/>
              <w:rPr>
                <w:rFonts w:hint="eastAsia"/>
                <w:szCs w:val="21"/>
              </w:rPr>
            </w:pPr>
          </w:p>
        </w:tc>
      </w:tr>
      <w:tr w14:paraId="4385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17835599">
            <w:pPr>
              <w:spacing w:line="360" w:lineRule="auto"/>
              <w:jc w:val="center"/>
              <w:rPr>
                <w:rFonts w:hint="eastAsia"/>
                <w:szCs w:val="21"/>
              </w:rPr>
            </w:pPr>
            <w:r>
              <w:rPr>
                <w:rFonts w:hint="eastAsia"/>
                <w:szCs w:val="21"/>
              </w:rPr>
              <w:t>7</w:t>
            </w:r>
          </w:p>
        </w:tc>
        <w:tc>
          <w:tcPr>
            <w:tcW w:w="1548" w:type="dxa"/>
            <w:vAlign w:val="center"/>
          </w:tcPr>
          <w:p w14:paraId="24777F96">
            <w:pPr>
              <w:spacing w:line="360" w:lineRule="auto"/>
              <w:jc w:val="center"/>
              <w:rPr>
                <w:rFonts w:hint="eastAsia"/>
                <w:szCs w:val="21"/>
              </w:rPr>
            </w:pPr>
            <w:r>
              <w:rPr>
                <w:rFonts w:hint="eastAsia"/>
                <w:szCs w:val="21"/>
              </w:rPr>
              <w:t>结构温度</w:t>
            </w:r>
          </w:p>
        </w:tc>
        <w:tc>
          <w:tcPr>
            <w:tcW w:w="2425" w:type="dxa"/>
            <w:vAlign w:val="center"/>
          </w:tcPr>
          <w:p w14:paraId="17666F64">
            <w:pPr>
              <w:pStyle w:val="34"/>
              <w:widowControl w:val="0"/>
              <w:spacing w:line="360" w:lineRule="auto"/>
              <w:rPr>
                <w:rFonts w:hint="eastAsia" w:ascii="宋体" w:hAnsi="宋体" w:cs="宋体"/>
                <w:szCs w:val="21"/>
              </w:rPr>
            </w:pPr>
            <w:r>
              <w:rPr>
                <w:rFonts w:hint="eastAsia" w:ascii="宋体" w:hAnsi="宋体" w:cs="宋体"/>
                <w:szCs w:val="21"/>
              </w:rPr>
              <w:t>光纤光栅温度计</w:t>
            </w:r>
          </w:p>
        </w:tc>
        <w:tc>
          <w:tcPr>
            <w:tcW w:w="916" w:type="dxa"/>
            <w:vAlign w:val="center"/>
          </w:tcPr>
          <w:p w14:paraId="4FCC1742">
            <w:pPr>
              <w:spacing w:line="360" w:lineRule="auto"/>
              <w:jc w:val="center"/>
              <w:rPr>
                <w:rFonts w:hint="eastAsia"/>
                <w:szCs w:val="21"/>
              </w:rPr>
            </w:pPr>
            <w:r>
              <w:rPr>
                <w:rFonts w:hint="eastAsia"/>
                <w:szCs w:val="21"/>
              </w:rPr>
              <w:t>台</w:t>
            </w:r>
          </w:p>
        </w:tc>
        <w:tc>
          <w:tcPr>
            <w:tcW w:w="1008" w:type="dxa"/>
            <w:vAlign w:val="center"/>
          </w:tcPr>
          <w:p w14:paraId="63A52733">
            <w:pPr>
              <w:spacing w:line="360" w:lineRule="auto"/>
              <w:jc w:val="center"/>
              <w:rPr>
                <w:rFonts w:hint="eastAsia"/>
                <w:szCs w:val="21"/>
              </w:rPr>
            </w:pPr>
            <w:r>
              <w:rPr>
                <w:rFonts w:hint="eastAsia"/>
                <w:szCs w:val="21"/>
              </w:rPr>
              <w:t>144</w:t>
            </w:r>
          </w:p>
        </w:tc>
        <w:tc>
          <w:tcPr>
            <w:tcW w:w="1078" w:type="dxa"/>
            <w:vAlign w:val="center"/>
          </w:tcPr>
          <w:p w14:paraId="51DDC2C4">
            <w:pPr>
              <w:spacing w:line="360" w:lineRule="auto"/>
              <w:jc w:val="center"/>
              <w:rPr>
                <w:rFonts w:hint="eastAsia"/>
                <w:szCs w:val="21"/>
              </w:rPr>
            </w:pPr>
          </w:p>
        </w:tc>
      </w:tr>
      <w:tr w14:paraId="01F9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7D49269C">
            <w:pPr>
              <w:spacing w:line="360" w:lineRule="auto"/>
              <w:jc w:val="center"/>
              <w:rPr>
                <w:rFonts w:hint="eastAsia"/>
                <w:szCs w:val="21"/>
              </w:rPr>
            </w:pPr>
            <w:r>
              <w:rPr>
                <w:rFonts w:hint="eastAsia"/>
                <w:szCs w:val="21"/>
              </w:rPr>
              <w:t>8</w:t>
            </w:r>
          </w:p>
        </w:tc>
        <w:tc>
          <w:tcPr>
            <w:tcW w:w="1548" w:type="dxa"/>
            <w:vAlign w:val="center"/>
          </w:tcPr>
          <w:p w14:paraId="7A5B2F2C">
            <w:pPr>
              <w:spacing w:line="360" w:lineRule="auto"/>
              <w:jc w:val="center"/>
              <w:rPr>
                <w:rFonts w:hint="eastAsia"/>
                <w:szCs w:val="21"/>
              </w:rPr>
            </w:pPr>
            <w:r>
              <w:rPr>
                <w:rFonts w:hint="eastAsia"/>
                <w:szCs w:val="21"/>
              </w:rPr>
              <w:t>关键截面应变</w:t>
            </w:r>
          </w:p>
        </w:tc>
        <w:tc>
          <w:tcPr>
            <w:tcW w:w="2425" w:type="dxa"/>
            <w:vAlign w:val="center"/>
          </w:tcPr>
          <w:p w14:paraId="172D989B">
            <w:pPr>
              <w:pStyle w:val="34"/>
              <w:widowControl w:val="0"/>
              <w:spacing w:line="360" w:lineRule="auto"/>
              <w:rPr>
                <w:rFonts w:hint="eastAsia" w:ascii="宋体" w:hAnsi="宋体" w:cs="宋体"/>
                <w:szCs w:val="21"/>
              </w:rPr>
            </w:pPr>
            <w:r>
              <w:rPr>
                <w:rFonts w:hint="eastAsia" w:ascii="宋体" w:hAnsi="宋体" w:cs="宋体"/>
                <w:szCs w:val="21"/>
              </w:rPr>
              <w:t>光纤光栅应变计</w:t>
            </w:r>
          </w:p>
        </w:tc>
        <w:tc>
          <w:tcPr>
            <w:tcW w:w="916" w:type="dxa"/>
            <w:vAlign w:val="center"/>
          </w:tcPr>
          <w:p w14:paraId="4B444242">
            <w:pPr>
              <w:spacing w:line="360" w:lineRule="auto"/>
              <w:jc w:val="center"/>
              <w:rPr>
                <w:rFonts w:hint="eastAsia"/>
                <w:szCs w:val="21"/>
              </w:rPr>
            </w:pPr>
            <w:r>
              <w:rPr>
                <w:rFonts w:hint="eastAsia"/>
                <w:szCs w:val="21"/>
              </w:rPr>
              <w:t>台</w:t>
            </w:r>
          </w:p>
        </w:tc>
        <w:tc>
          <w:tcPr>
            <w:tcW w:w="1008" w:type="dxa"/>
            <w:vAlign w:val="center"/>
          </w:tcPr>
          <w:p w14:paraId="14AEB08D">
            <w:pPr>
              <w:spacing w:line="360" w:lineRule="auto"/>
              <w:jc w:val="center"/>
              <w:rPr>
                <w:rFonts w:hint="eastAsia"/>
                <w:szCs w:val="21"/>
              </w:rPr>
            </w:pPr>
            <w:r>
              <w:rPr>
                <w:rFonts w:hint="eastAsia"/>
                <w:szCs w:val="21"/>
              </w:rPr>
              <w:t>144</w:t>
            </w:r>
          </w:p>
        </w:tc>
        <w:tc>
          <w:tcPr>
            <w:tcW w:w="1078" w:type="dxa"/>
            <w:vAlign w:val="center"/>
          </w:tcPr>
          <w:p w14:paraId="0CB7CB25">
            <w:pPr>
              <w:spacing w:line="360" w:lineRule="auto"/>
              <w:jc w:val="center"/>
              <w:rPr>
                <w:rFonts w:hint="eastAsia"/>
                <w:szCs w:val="21"/>
              </w:rPr>
            </w:pPr>
          </w:p>
        </w:tc>
      </w:tr>
      <w:tr w14:paraId="2CE6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4A8AB703">
            <w:pPr>
              <w:spacing w:line="360" w:lineRule="auto"/>
              <w:jc w:val="center"/>
              <w:rPr>
                <w:rFonts w:hint="eastAsia"/>
                <w:szCs w:val="21"/>
              </w:rPr>
            </w:pPr>
            <w:r>
              <w:rPr>
                <w:rFonts w:hint="eastAsia"/>
                <w:szCs w:val="21"/>
              </w:rPr>
              <w:t>9</w:t>
            </w:r>
          </w:p>
        </w:tc>
        <w:tc>
          <w:tcPr>
            <w:tcW w:w="1548" w:type="dxa"/>
            <w:vAlign w:val="center"/>
          </w:tcPr>
          <w:p w14:paraId="469BDC89">
            <w:pPr>
              <w:spacing w:line="360" w:lineRule="auto"/>
              <w:jc w:val="center"/>
              <w:rPr>
                <w:rFonts w:hint="eastAsia"/>
                <w:szCs w:val="21"/>
              </w:rPr>
            </w:pPr>
            <w:r>
              <w:rPr>
                <w:rFonts w:hint="eastAsia"/>
                <w:szCs w:val="21"/>
              </w:rPr>
              <w:t>主梁竖向位移</w:t>
            </w:r>
          </w:p>
        </w:tc>
        <w:tc>
          <w:tcPr>
            <w:tcW w:w="2425" w:type="dxa"/>
            <w:vAlign w:val="center"/>
          </w:tcPr>
          <w:p w14:paraId="64685A92">
            <w:pPr>
              <w:pStyle w:val="34"/>
              <w:widowControl w:val="0"/>
              <w:spacing w:line="360" w:lineRule="auto"/>
              <w:rPr>
                <w:rFonts w:hint="eastAsia" w:ascii="宋体" w:hAnsi="宋体" w:cs="宋体"/>
                <w:szCs w:val="21"/>
              </w:rPr>
            </w:pPr>
            <w:r>
              <w:rPr>
                <w:rFonts w:hint="eastAsia" w:ascii="宋体" w:hAnsi="宋体" w:cs="宋体"/>
                <w:szCs w:val="21"/>
              </w:rPr>
              <w:t>挠度仪</w:t>
            </w:r>
          </w:p>
        </w:tc>
        <w:tc>
          <w:tcPr>
            <w:tcW w:w="916" w:type="dxa"/>
            <w:vAlign w:val="center"/>
          </w:tcPr>
          <w:p w14:paraId="126774F9">
            <w:pPr>
              <w:spacing w:line="360" w:lineRule="auto"/>
              <w:jc w:val="center"/>
              <w:rPr>
                <w:rFonts w:hint="eastAsia"/>
                <w:szCs w:val="21"/>
              </w:rPr>
            </w:pPr>
            <w:r>
              <w:rPr>
                <w:rFonts w:hint="eastAsia"/>
                <w:szCs w:val="21"/>
              </w:rPr>
              <w:t>台</w:t>
            </w:r>
          </w:p>
        </w:tc>
        <w:tc>
          <w:tcPr>
            <w:tcW w:w="1008" w:type="dxa"/>
            <w:vAlign w:val="center"/>
          </w:tcPr>
          <w:p w14:paraId="25FF3772">
            <w:pPr>
              <w:spacing w:line="360" w:lineRule="auto"/>
              <w:jc w:val="center"/>
              <w:rPr>
                <w:rFonts w:hint="eastAsia"/>
                <w:szCs w:val="21"/>
              </w:rPr>
            </w:pPr>
            <w:r>
              <w:rPr>
                <w:rFonts w:hint="eastAsia"/>
                <w:szCs w:val="21"/>
              </w:rPr>
              <w:t>4</w:t>
            </w:r>
          </w:p>
        </w:tc>
        <w:tc>
          <w:tcPr>
            <w:tcW w:w="1078" w:type="dxa"/>
            <w:vAlign w:val="center"/>
          </w:tcPr>
          <w:p w14:paraId="4AFED2BA">
            <w:pPr>
              <w:spacing w:line="360" w:lineRule="auto"/>
              <w:jc w:val="center"/>
              <w:rPr>
                <w:rFonts w:hint="eastAsia"/>
                <w:szCs w:val="21"/>
              </w:rPr>
            </w:pPr>
            <w:r>
              <w:rPr>
                <w:rFonts w:hint="eastAsia"/>
                <w:szCs w:val="21"/>
              </w:rPr>
              <w:t>配套靶标</w:t>
            </w:r>
          </w:p>
        </w:tc>
      </w:tr>
      <w:tr w14:paraId="1BAC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2" w:type="dxa"/>
            <w:vAlign w:val="center"/>
          </w:tcPr>
          <w:p w14:paraId="340D953E">
            <w:pPr>
              <w:spacing w:line="360" w:lineRule="auto"/>
              <w:jc w:val="center"/>
              <w:rPr>
                <w:rFonts w:hint="eastAsia"/>
                <w:szCs w:val="21"/>
              </w:rPr>
            </w:pPr>
            <w:r>
              <w:rPr>
                <w:rFonts w:hint="eastAsia"/>
                <w:szCs w:val="21"/>
              </w:rPr>
              <w:t>10</w:t>
            </w:r>
          </w:p>
        </w:tc>
        <w:tc>
          <w:tcPr>
            <w:tcW w:w="1548" w:type="dxa"/>
            <w:vAlign w:val="center"/>
          </w:tcPr>
          <w:p w14:paraId="08233734">
            <w:pPr>
              <w:spacing w:line="360" w:lineRule="auto"/>
              <w:jc w:val="center"/>
              <w:rPr>
                <w:rFonts w:hint="eastAsia"/>
                <w:szCs w:val="21"/>
              </w:rPr>
            </w:pPr>
            <w:r>
              <w:rPr>
                <w:rFonts w:hint="eastAsia"/>
                <w:szCs w:val="21"/>
              </w:rPr>
              <w:t>空间变位</w:t>
            </w:r>
          </w:p>
        </w:tc>
        <w:tc>
          <w:tcPr>
            <w:tcW w:w="2425" w:type="dxa"/>
            <w:vAlign w:val="center"/>
          </w:tcPr>
          <w:p w14:paraId="4A098AE6">
            <w:pPr>
              <w:pStyle w:val="34"/>
              <w:widowControl w:val="0"/>
              <w:spacing w:line="360" w:lineRule="auto"/>
              <w:rPr>
                <w:rFonts w:hint="eastAsia" w:ascii="宋体" w:hAnsi="宋体" w:cs="宋体"/>
                <w:szCs w:val="21"/>
              </w:rPr>
            </w:pPr>
            <w:r>
              <w:rPr>
                <w:rFonts w:hint="eastAsia" w:ascii="宋体" w:hAnsi="宋体" w:cs="宋体"/>
                <w:szCs w:val="21"/>
              </w:rPr>
              <w:t>GNSS</w:t>
            </w:r>
          </w:p>
        </w:tc>
        <w:tc>
          <w:tcPr>
            <w:tcW w:w="916" w:type="dxa"/>
            <w:vAlign w:val="center"/>
          </w:tcPr>
          <w:p w14:paraId="6B227E8E">
            <w:pPr>
              <w:spacing w:line="360" w:lineRule="auto"/>
              <w:jc w:val="center"/>
              <w:rPr>
                <w:rFonts w:hint="eastAsia"/>
                <w:szCs w:val="21"/>
              </w:rPr>
            </w:pPr>
            <w:r>
              <w:rPr>
                <w:rFonts w:hint="eastAsia"/>
                <w:szCs w:val="21"/>
              </w:rPr>
              <w:t>台</w:t>
            </w:r>
          </w:p>
        </w:tc>
        <w:tc>
          <w:tcPr>
            <w:tcW w:w="1008" w:type="dxa"/>
            <w:vAlign w:val="center"/>
          </w:tcPr>
          <w:p w14:paraId="255E0818">
            <w:pPr>
              <w:spacing w:line="360" w:lineRule="auto"/>
              <w:jc w:val="center"/>
              <w:rPr>
                <w:rFonts w:hint="eastAsia"/>
                <w:szCs w:val="21"/>
              </w:rPr>
            </w:pPr>
            <w:r>
              <w:rPr>
                <w:rFonts w:hint="eastAsia"/>
                <w:szCs w:val="21"/>
              </w:rPr>
              <w:t>5</w:t>
            </w:r>
          </w:p>
        </w:tc>
        <w:tc>
          <w:tcPr>
            <w:tcW w:w="1078" w:type="dxa"/>
            <w:vAlign w:val="center"/>
          </w:tcPr>
          <w:p w14:paraId="236959F6">
            <w:pPr>
              <w:spacing w:line="360" w:lineRule="auto"/>
              <w:jc w:val="center"/>
              <w:rPr>
                <w:rFonts w:hint="eastAsia"/>
                <w:szCs w:val="21"/>
              </w:rPr>
            </w:pPr>
          </w:p>
        </w:tc>
      </w:tr>
      <w:tr w14:paraId="2185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vAlign w:val="center"/>
          </w:tcPr>
          <w:p w14:paraId="54E5EB06">
            <w:pPr>
              <w:spacing w:line="360" w:lineRule="auto"/>
              <w:jc w:val="center"/>
              <w:rPr>
                <w:rFonts w:hint="eastAsia"/>
                <w:szCs w:val="21"/>
              </w:rPr>
            </w:pPr>
            <w:r>
              <w:rPr>
                <w:rFonts w:hint="eastAsia"/>
                <w:szCs w:val="21"/>
              </w:rPr>
              <w:t>11</w:t>
            </w:r>
          </w:p>
        </w:tc>
        <w:tc>
          <w:tcPr>
            <w:tcW w:w="1548" w:type="dxa"/>
            <w:vAlign w:val="center"/>
          </w:tcPr>
          <w:p w14:paraId="137636C6">
            <w:pPr>
              <w:spacing w:line="360" w:lineRule="auto"/>
              <w:jc w:val="center"/>
              <w:rPr>
                <w:rFonts w:hint="eastAsia"/>
                <w:szCs w:val="21"/>
              </w:rPr>
            </w:pPr>
            <w:r>
              <w:rPr>
                <w:rFonts w:hint="eastAsia"/>
                <w:szCs w:val="21"/>
              </w:rPr>
              <w:t>梁端纵向位移</w:t>
            </w:r>
          </w:p>
        </w:tc>
        <w:tc>
          <w:tcPr>
            <w:tcW w:w="2425" w:type="dxa"/>
            <w:vAlign w:val="center"/>
          </w:tcPr>
          <w:p w14:paraId="39200B7E">
            <w:pPr>
              <w:pStyle w:val="34"/>
              <w:widowControl w:val="0"/>
              <w:spacing w:line="360" w:lineRule="auto"/>
              <w:rPr>
                <w:rFonts w:hint="eastAsia" w:ascii="宋体" w:hAnsi="宋体" w:cs="宋体"/>
                <w:szCs w:val="21"/>
              </w:rPr>
            </w:pPr>
            <w:r>
              <w:rPr>
                <w:rFonts w:hint="eastAsia" w:ascii="宋体" w:hAnsi="宋体" w:cs="宋体"/>
                <w:szCs w:val="21"/>
              </w:rPr>
              <w:t>拉绳式位移计</w:t>
            </w:r>
          </w:p>
        </w:tc>
        <w:tc>
          <w:tcPr>
            <w:tcW w:w="916" w:type="dxa"/>
            <w:vAlign w:val="center"/>
          </w:tcPr>
          <w:p w14:paraId="1D65B824">
            <w:pPr>
              <w:spacing w:line="360" w:lineRule="auto"/>
              <w:jc w:val="center"/>
              <w:rPr>
                <w:rFonts w:hint="eastAsia"/>
                <w:szCs w:val="21"/>
              </w:rPr>
            </w:pPr>
            <w:r>
              <w:rPr>
                <w:rFonts w:hint="eastAsia"/>
                <w:szCs w:val="21"/>
              </w:rPr>
              <w:t>台</w:t>
            </w:r>
          </w:p>
        </w:tc>
        <w:tc>
          <w:tcPr>
            <w:tcW w:w="1008" w:type="dxa"/>
            <w:vAlign w:val="center"/>
          </w:tcPr>
          <w:p w14:paraId="62560EF9">
            <w:pPr>
              <w:spacing w:line="360" w:lineRule="auto"/>
              <w:jc w:val="center"/>
              <w:rPr>
                <w:rFonts w:hint="eastAsia"/>
                <w:szCs w:val="21"/>
              </w:rPr>
            </w:pPr>
            <w:r>
              <w:rPr>
                <w:rFonts w:hint="eastAsia"/>
                <w:szCs w:val="21"/>
              </w:rPr>
              <w:t>6</w:t>
            </w:r>
          </w:p>
        </w:tc>
        <w:tc>
          <w:tcPr>
            <w:tcW w:w="1078" w:type="dxa"/>
            <w:vAlign w:val="center"/>
          </w:tcPr>
          <w:p w14:paraId="1A8954C1">
            <w:pPr>
              <w:spacing w:line="360" w:lineRule="auto"/>
              <w:jc w:val="center"/>
              <w:rPr>
                <w:rFonts w:hint="eastAsia"/>
                <w:szCs w:val="21"/>
              </w:rPr>
            </w:pPr>
          </w:p>
        </w:tc>
      </w:tr>
      <w:tr w14:paraId="6E5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531" w:type="dxa"/>
            <w:gridSpan w:val="4"/>
            <w:vAlign w:val="center"/>
          </w:tcPr>
          <w:p w14:paraId="0DDB10B3">
            <w:pPr>
              <w:spacing w:line="360" w:lineRule="auto"/>
              <w:jc w:val="center"/>
              <w:rPr>
                <w:rFonts w:hint="eastAsia"/>
                <w:szCs w:val="21"/>
              </w:rPr>
            </w:pPr>
            <w:r>
              <w:rPr>
                <w:rFonts w:hint="eastAsia"/>
                <w:szCs w:val="21"/>
              </w:rPr>
              <w:t>合计</w:t>
            </w:r>
          </w:p>
        </w:tc>
        <w:tc>
          <w:tcPr>
            <w:tcW w:w="1008" w:type="dxa"/>
            <w:vAlign w:val="center"/>
          </w:tcPr>
          <w:p w14:paraId="281C6471">
            <w:pPr>
              <w:spacing w:line="360" w:lineRule="auto"/>
              <w:jc w:val="center"/>
              <w:rPr>
                <w:rFonts w:hint="eastAsia"/>
                <w:szCs w:val="21"/>
              </w:rPr>
            </w:pPr>
            <w:r>
              <w:rPr>
                <w:rFonts w:hint="eastAsia"/>
                <w:szCs w:val="21"/>
              </w:rPr>
              <w:t>324</w:t>
            </w:r>
          </w:p>
        </w:tc>
        <w:tc>
          <w:tcPr>
            <w:tcW w:w="1078" w:type="dxa"/>
            <w:vAlign w:val="center"/>
          </w:tcPr>
          <w:p w14:paraId="64460C7B">
            <w:pPr>
              <w:spacing w:line="360" w:lineRule="auto"/>
              <w:jc w:val="center"/>
              <w:rPr>
                <w:rFonts w:hint="eastAsia"/>
                <w:szCs w:val="21"/>
              </w:rPr>
            </w:pPr>
          </w:p>
        </w:tc>
      </w:tr>
    </w:tbl>
    <w:p w14:paraId="0014F9D7">
      <w:pPr>
        <w:spacing w:before="156" w:beforeLines="50" w:line="360" w:lineRule="auto"/>
        <w:ind w:firstLine="420" w:firstLineChars="200"/>
        <w:rPr>
          <w:rFonts w:hint="eastAsia"/>
          <w:szCs w:val="21"/>
        </w:rPr>
      </w:pPr>
      <w:r>
        <w:rPr>
          <w:rFonts w:hint="eastAsia"/>
          <w:szCs w:val="21"/>
        </w:rPr>
        <w:t>详细技术指标如下所示：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960"/>
        <w:gridCol w:w="4902"/>
      </w:tblGrid>
      <w:tr w14:paraId="5E7C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134" w:type="dxa"/>
            <w:vAlign w:val="center"/>
          </w:tcPr>
          <w:p w14:paraId="3FC14FCC">
            <w:pPr>
              <w:spacing w:line="360" w:lineRule="auto"/>
              <w:jc w:val="center"/>
              <w:rPr>
                <w:rFonts w:hint="eastAsia"/>
                <w:b/>
                <w:bCs/>
                <w:szCs w:val="21"/>
              </w:rPr>
            </w:pPr>
            <w:r>
              <w:rPr>
                <w:rFonts w:hint="eastAsia"/>
                <w:b/>
                <w:bCs/>
                <w:szCs w:val="21"/>
              </w:rPr>
              <w:t>序号</w:t>
            </w:r>
          </w:p>
        </w:tc>
        <w:tc>
          <w:tcPr>
            <w:tcW w:w="1960" w:type="dxa"/>
            <w:vAlign w:val="center"/>
          </w:tcPr>
          <w:p w14:paraId="761F22C5">
            <w:pPr>
              <w:spacing w:line="360" w:lineRule="auto"/>
              <w:jc w:val="center"/>
              <w:rPr>
                <w:rFonts w:hint="eastAsia"/>
                <w:b/>
                <w:bCs/>
                <w:szCs w:val="21"/>
              </w:rPr>
            </w:pPr>
            <w:r>
              <w:rPr>
                <w:rFonts w:hint="eastAsia"/>
                <w:b/>
                <w:bCs/>
                <w:szCs w:val="21"/>
              </w:rPr>
              <w:t>产品名称</w:t>
            </w:r>
          </w:p>
        </w:tc>
        <w:tc>
          <w:tcPr>
            <w:tcW w:w="4902" w:type="dxa"/>
            <w:vAlign w:val="center"/>
          </w:tcPr>
          <w:p w14:paraId="2385C8FE">
            <w:pPr>
              <w:spacing w:line="360" w:lineRule="auto"/>
              <w:jc w:val="center"/>
              <w:rPr>
                <w:rFonts w:hint="eastAsia"/>
                <w:b/>
                <w:bCs/>
                <w:szCs w:val="21"/>
              </w:rPr>
            </w:pPr>
            <w:r>
              <w:rPr>
                <w:rFonts w:hint="eastAsia"/>
                <w:b/>
                <w:bCs/>
                <w:szCs w:val="21"/>
              </w:rPr>
              <w:t>主要技术指标</w:t>
            </w:r>
          </w:p>
        </w:tc>
      </w:tr>
      <w:tr w14:paraId="03C9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985D0A8">
            <w:pPr>
              <w:spacing w:line="360" w:lineRule="auto"/>
              <w:jc w:val="center"/>
              <w:rPr>
                <w:rFonts w:hint="eastAsia"/>
                <w:szCs w:val="21"/>
              </w:rPr>
            </w:pPr>
            <w:r>
              <w:rPr>
                <w:rFonts w:hint="eastAsia"/>
                <w:szCs w:val="21"/>
              </w:rPr>
              <w:t>1</w:t>
            </w:r>
          </w:p>
        </w:tc>
        <w:tc>
          <w:tcPr>
            <w:tcW w:w="1960" w:type="dxa"/>
            <w:vAlign w:val="center"/>
          </w:tcPr>
          <w:p w14:paraId="4DA2AEB2">
            <w:pPr>
              <w:spacing w:line="360" w:lineRule="auto"/>
              <w:jc w:val="center"/>
              <w:rPr>
                <w:rFonts w:hint="eastAsia"/>
                <w:szCs w:val="21"/>
              </w:rPr>
            </w:pPr>
            <w:r>
              <w:rPr>
                <w:rFonts w:hint="eastAsia"/>
                <w:szCs w:val="21"/>
              </w:rPr>
              <w:t>温湿度计</w:t>
            </w:r>
          </w:p>
        </w:tc>
        <w:tc>
          <w:tcPr>
            <w:tcW w:w="4902" w:type="dxa"/>
            <w:vAlign w:val="center"/>
          </w:tcPr>
          <w:p w14:paraId="7514D18E">
            <w:pPr>
              <w:spacing w:line="360" w:lineRule="auto"/>
              <w:jc w:val="left"/>
              <w:rPr>
                <w:rFonts w:hint="eastAsia"/>
                <w:szCs w:val="21"/>
              </w:rPr>
            </w:pPr>
            <w:r>
              <w:rPr>
                <w:rFonts w:hint="eastAsia"/>
                <w:szCs w:val="21"/>
              </w:rPr>
              <w:t>温度测量范围：-50～100℃</w:t>
            </w:r>
          </w:p>
          <w:p w14:paraId="3AB82E32">
            <w:pPr>
              <w:spacing w:line="360" w:lineRule="auto"/>
              <w:jc w:val="left"/>
              <w:rPr>
                <w:rFonts w:hint="eastAsia"/>
                <w:szCs w:val="21"/>
              </w:rPr>
            </w:pPr>
            <w:r>
              <w:rPr>
                <w:rFonts w:hint="eastAsia"/>
                <w:szCs w:val="21"/>
              </w:rPr>
              <w:t>温度精度：±0.3℃</w:t>
            </w:r>
          </w:p>
          <w:p w14:paraId="46D10683">
            <w:pPr>
              <w:spacing w:line="360" w:lineRule="auto"/>
              <w:jc w:val="left"/>
              <w:rPr>
                <w:rFonts w:hint="eastAsia"/>
                <w:szCs w:val="21"/>
              </w:rPr>
            </w:pPr>
            <w:r>
              <w:rPr>
                <w:rFonts w:hint="eastAsia"/>
                <w:szCs w:val="21"/>
              </w:rPr>
              <w:t>温度分别率：0.1℃</w:t>
            </w:r>
          </w:p>
          <w:p w14:paraId="5BF39AF7">
            <w:pPr>
              <w:spacing w:line="360" w:lineRule="auto"/>
              <w:jc w:val="left"/>
              <w:rPr>
                <w:rFonts w:hint="eastAsia"/>
                <w:szCs w:val="21"/>
              </w:rPr>
            </w:pPr>
            <w:r>
              <w:rPr>
                <w:rFonts w:hint="eastAsia"/>
                <w:szCs w:val="21"/>
              </w:rPr>
              <w:t>湿度测量范围：0～100%RH</w:t>
            </w:r>
          </w:p>
          <w:p w14:paraId="2B8CEB98">
            <w:pPr>
              <w:spacing w:line="360" w:lineRule="auto"/>
              <w:jc w:val="left"/>
              <w:rPr>
                <w:rFonts w:hint="eastAsia"/>
                <w:szCs w:val="21"/>
              </w:rPr>
            </w:pPr>
            <w:r>
              <w:rPr>
                <w:rFonts w:hint="eastAsia"/>
                <w:szCs w:val="21"/>
              </w:rPr>
              <w:t>湿度精度：±2%RH</w:t>
            </w:r>
          </w:p>
          <w:p w14:paraId="5836F558">
            <w:pPr>
              <w:spacing w:line="360" w:lineRule="auto"/>
              <w:jc w:val="left"/>
              <w:rPr>
                <w:rFonts w:hint="eastAsia"/>
                <w:szCs w:val="21"/>
              </w:rPr>
            </w:pPr>
            <w:r>
              <w:rPr>
                <w:rFonts w:hint="eastAsia"/>
                <w:szCs w:val="21"/>
              </w:rPr>
              <w:t>湿度分别率：0.1%RH</w:t>
            </w:r>
          </w:p>
          <w:p w14:paraId="4F6F039D">
            <w:pPr>
              <w:spacing w:line="360" w:lineRule="auto"/>
              <w:jc w:val="left"/>
              <w:rPr>
                <w:rFonts w:hint="eastAsia"/>
                <w:szCs w:val="21"/>
              </w:rPr>
            </w:pPr>
            <w:r>
              <w:rPr>
                <w:rFonts w:hint="eastAsia"/>
                <w:szCs w:val="21"/>
              </w:rPr>
              <w:t>输出方式：RS485</w:t>
            </w:r>
          </w:p>
          <w:p w14:paraId="70EA8549">
            <w:pPr>
              <w:spacing w:line="360" w:lineRule="auto"/>
              <w:jc w:val="left"/>
              <w:rPr>
                <w:rFonts w:hint="eastAsia"/>
                <w:szCs w:val="21"/>
              </w:rPr>
            </w:pPr>
            <w:r>
              <w:rPr>
                <w:rFonts w:hint="eastAsia"/>
                <w:szCs w:val="21"/>
              </w:rPr>
              <w:t>供电方式：12V DC</w:t>
            </w:r>
          </w:p>
          <w:p w14:paraId="700826E5">
            <w:pPr>
              <w:spacing w:line="360" w:lineRule="auto"/>
              <w:jc w:val="left"/>
              <w:rPr>
                <w:rFonts w:hint="eastAsia"/>
                <w:szCs w:val="21"/>
              </w:rPr>
            </w:pPr>
            <w:r>
              <w:rPr>
                <w:rFonts w:hint="eastAsia"/>
                <w:szCs w:val="21"/>
              </w:rPr>
              <w:t>计量校准：提供有效的第三方检测报告</w:t>
            </w:r>
          </w:p>
        </w:tc>
      </w:tr>
      <w:tr w14:paraId="122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54678737">
            <w:pPr>
              <w:spacing w:line="360" w:lineRule="auto"/>
              <w:jc w:val="center"/>
              <w:rPr>
                <w:rFonts w:hint="eastAsia"/>
                <w:szCs w:val="21"/>
              </w:rPr>
            </w:pPr>
            <w:r>
              <w:rPr>
                <w:rFonts w:hint="eastAsia"/>
                <w:szCs w:val="21"/>
              </w:rPr>
              <w:t>2</w:t>
            </w:r>
          </w:p>
        </w:tc>
        <w:tc>
          <w:tcPr>
            <w:tcW w:w="1960" w:type="dxa"/>
            <w:vAlign w:val="center"/>
          </w:tcPr>
          <w:p w14:paraId="22BB2D63">
            <w:pPr>
              <w:spacing w:line="360" w:lineRule="auto"/>
              <w:jc w:val="center"/>
              <w:rPr>
                <w:rFonts w:hint="eastAsia"/>
                <w:szCs w:val="21"/>
              </w:rPr>
            </w:pPr>
            <w:r>
              <w:rPr>
                <w:rFonts w:hint="eastAsia"/>
                <w:szCs w:val="21"/>
              </w:rPr>
              <w:t>雨量计</w:t>
            </w:r>
          </w:p>
        </w:tc>
        <w:tc>
          <w:tcPr>
            <w:tcW w:w="4902" w:type="dxa"/>
            <w:vAlign w:val="center"/>
          </w:tcPr>
          <w:p w14:paraId="01C8F1BB">
            <w:pPr>
              <w:spacing w:line="360" w:lineRule="auto"/>
              <w:jc w:val="left"/>
              <w:rPr>
                <w:rFonts w:hint="eastAsia"/>
                <w:szCs w:val="21"/>
              </w:rPr>
            </w:pPr>
            <w:r>
              <w:rPr>
                <w:rFonts w:hint="eastAsia"/>
                <w:szCs w:val="21"/>
              </w:rPr>
              <w:t>盛水口径：Ф200±0.6mm</w:t>
            </w:r>
          </w:p>
          <w:p w14:paraId="14EE4058">
            <w:pPr>
              <w:spacing w:line="360" w:lineRule="auto"/>
              <w:jc w:val="left"/>
              <w:rPr>
                <w:rFonts w:hint="eastAsia"/>
                <w:szCs w:val="21"/>
              </w:rPr>
            </w:pPr>
            <w:r>
              <w:rPr>
                <w:rFonts w:hint="eastAsia"/>
                <w:szCs w:val="21"/>
              </w:rPr>
              <w:t>测量范围：≤4mm/min</w:t>
            </w:r>
          </w:p>
          <w:p w14:paraId="1327264C">
            <w:pPr>
              <w:spacing w:line="360" w:lineRule="auto"/>
              <w:jc w:val="left"/>
              <w:rPr>
                <w:rFonts w:hint="eastAsia"/>
                <w:szCs w:val="21"/>
              </w:rPr>
            </w:pPr>
            <w:r>
              <w:rPr>
                <w:rFonts w:hint="eastAsia"/>
                <w:szCs w:val="21"/>
              </w:rPr>
              <w:t>分辨率：0.2mm(6.28ml）</w:t>
            </w:r>
          </w:p>
          <w:p w14:paraId="5FF4F02C">
            <w:pPr>
              <w:spacing w:line="360" w:lineRule="auto"/>
              <w:jc w:val="left"/>
              <w:rPr>
                <w:rFonts w:hint="eastAsia"/>
                <w:szCs w:val="21"/>
              </w:rPr>
            </w:pPr>
            <w:r>
              <w:rPr>
                <w:rFonts w:hint="eastAsia"/>
                <w:szCs w:val="21"/>
              </w:rPr>
              <w:t>准确度：±4%</w:t>
            </w:r>
          </w:p>
          <w:p w14:paraId="52AEBB86">
            <w:pPr>
              <w:spacing w:line="360" w:lineRule="auto"/>
              <w:jc w:val="left"/>
              <w:rPr>
                <w:rFonts w:hint="eastAsia"/>
                <w:szCs w:val="21"/>
              </w:rPr>
            </w:pPr>
            <w:r>
              <w:rPr>
                <w:rFonts w:hint="eastAsia"/>
                <w:szCs w:val="21"/>
              </w:rPr>
              <w:t>输出方式：RS485/脉冲信号</w:t>
            </w:r>
          </w:p>
          <w:p w14:paraId="145CE0F8">
            <w:pPr>
              <w:spacing w:line="360" w:lineRule="auto"/>
              <w:jc w:val="left"/>
              <w:rPr>
                <w:rFonts w:hint="eastAsia"/>
                <w:szCs w:val="21"/>
              </w:rPr>
            </w:pPr>
            <w:r>
              <w:rPr>
                <w:rFonts w:hint="eastAsia"/>
                <w:szCs w:val="21"/>
              </w:rPr>
              <w:t>供电方式：5V DC</w:t>
            </w:r>
          </w:p>
          <w:p w14:paraId="4A2F430A">
            <w:pPr>
              <w:spacing w:line="360" w:lineRule="auto"/>
              <w:jc w:val="left"/>
              <w:rPr>
                <w:rFonts w:hint="eastAsia"/>
                <w:szCs w:val="21"/>
              </w:rPr>
            </w:pPr>
            <w:r>
              <w:rPr>
                <w:rFonts w:hint="eastAsia"/>
                <w:szCs w:val="21"/>
              </w:rPr>
              <w:t>计量校准：提供有效的第三方检测报告</w:t>
            </w:r>
          </w:p>
        </w:tc>
      </w:tr>
      <w:tr w14:paraId="12B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162E087">
            <w:pPr>
              <w:spacing w:line="360" w:lineRule="auto"/>
              <w:jc w:val="center"/>
              <w:rPr>
                <w:rFonts w:hint="eastAsia"/>
                <w:szCs w:val="21"/>
              </w:rPr>
            </w:pPr>
            <w:r>
              <w:rPr>
                <w:rFonts w:hint="eastAsia"/>
                <w:szCs w:val="21"/>
              </w:rPr>
              <w:t>3</w:t>
            </w:r>
          </w:p>
        </w:tc>
        <w:tc>
          <w:tcPr>
            <w:tcW w:w="1960" w:type="dxa"/>
            <w:vAlign w:val="center"/>
          </w:tcPr>
          <w:p w14:paraId="394C5E41">
            <w:pPr>
              <w:spacing w:line="360" w:lineRule="auto"/>
              <w:jc w:val="center"/>
              <w:rPr>
                <w:rFonts w:hint="eastAsia"/>
                <w:szCs w:val="21"/>
              </w:rPr>
            </w:pPr>
            <w:r>
              <w:rPr>
                <w:rFonts w:hint="eastAsia"/>
                <w:szCs w:val="21"/>
              </w:rPr>
              <w:t>一体化强震仪</w:t>
            </w:r>
          </w:p>
        </w:tc>
        <w:tc>
          <w:tcPr>
            <w:tcW w:w="4902" w:type="dxa"/>
            <w:vAlign w:val="center"/>
          </w:tcPr>
          <w:p w14:paraId="41C8BAD4">
            <w:pPr>
              <w:spacing w:line="360" w:lineRule="auto"/>
              <w:jc w:val="left"/>
              <w:rPr>
                <w:rFonts w:hint="eastAsia"/>
                <w:szCs w:val="21"/>
              </w:rPr>
            </w:pPr>
            <w:r>
              <w:rPr>
                <w:rFonts w:hint="eastAsia"/>
                <w:szCs w:val="21"/>
              </w:rPr>
              <w:t>灵敏度：2.5V/g</w:t>
            </w:r>
          </w:p>
          <w:p w14:paraId="4CB44157">
            <w:pPr>
              <w:spacing w:line="360" w:lineRule="auto"/>
              <w:jc w:val="left"/>
              <w:rPr>
                <w:rFonts w:hint="eastAsia"/>
                <w:szCs w:val="21"/>
              </w:rPr>
            </w:pPr>
            <w:r>
              <w:rPr>
                <w:rFonts w:hint="eastAsia"/>
                <w:szCs w:val="21"/>
              </w:rPr>
              <w:t>测量</w:t>
            </w:r>
            <w:r>
              <w:rPr>
                <w:rFonts w:hint="eastAsia"/>
                <w:szCs w:val="21"/>
                <w:highlight w:val="none"/>
              </w:rPr>
              <w:t>范围：±2.0g（考虑范围，有点窄）</w:t>
            </w:r>
          </w:p>
          <w:p w14:paraId="3A3B76C8">
            <w:pPr>
              <w:spacing w:line="360" w:lineRule="auto"/>
              <w:jc w:val="left"/>
              <w:rPr>
                <w:rFonts w:hint="eastAsia"/>
                <w:szCs w:val="21"/>
              </w:rPr>
            </w:pPr>
            <w:r>
              <w:rPr>
                <w:rFonts w:hint="eastAsia"/>
                <w:szCs w:val="21"/>
              </w:rPr>
              <w:t>测量方向：三向</w:t>
            </w:r>
          </w:p>
          <w:p w14:paraId="164897C6">
            <w:pPr>
              <w:spacing w:line="360" w:lineRule="auto"/>
              <w:jc w:val="left"/>
              <w:rPr>
                <w:rFonts w:hint="eastAsia"/>
                <w:szCs w:val="21"/>
              </w:rPr>
            </w:pPr>
            <w:r>
              <w:rPr>
                <w:rFonts w:hint="eastAsia"/>
                <w:szCs w:val="21"/>
              </w:rPr>
              <w:t>频响范围：0～80Hz</w:t>
            </w:r>
          </w:p>
          <w:p w14:paraId="79F3347C">
            <w:pPr>
              <w:spacing w:line="360" w:lineRule="auto"/>
              <w:jc w:val="left"/>
              <w:rPr>
                <w:rFonts w:hint="eastAsia"/>
                <w:szCs w:val="21"/>
              </w:rPr>
            </w:pPr>
            <w:r>
              <w:rPr>
                <w:rFonts w:hint="eastAsia"/>
                <w:szCs w:val="21"/>
              </w:rPr>
              <w:t>动态范围：130dB</w:t>
            </w:r>
          </w:p>
          <w:p w14:paraId="023163AD">
            <w:pPr>
              <w:spacing w:line="360" w:lineRule="auto"/>
              <w:jc w:val="left"/>
              <w:rPr>
                <w:rFonts w:hint="eastAsia"/>
                <w:szCs w:val="21"/>
              </w:rPr>
            </w:pPr>
            <w:r>
              <w:rPr>
                <w:rFonts w:hint="eastAsia"/>
                <w:szCs w:val="21"/>
              </w:rPr>
              <w:t>线性度：优于1%</w:t>
            </w:r>
          </w:p>
          <w:p w14:paraId="3BC9833E">
            <w:pPr>
              <w:spacing w:line="360" w:lineRule="auto"/>
              <w:jc w:val="left"/>
              <w:rPr>
                <w:rFonts w:hint="eastAsia"/>
                <w:szCs w:val="21"/>
              </w:rPr>
            </w:pPr>
            <w:r>
              <w:rPr>
                <w:rFonts w:hint="eastAsia"/>
                <w:szCs w:val="21"/>
              </w:rPr>
              <w:t>电压测量范围：±20V、±10V、±5V、±2.5V、±1.25V</w:t>
            </w:r>
          </w:p>
          <w:p w14:paraId="3CBCBF7D">
            <w:pPr>
              <w:spacing w:line="360" w:lineRule="auto"/>
              <w:jc w:val="left"/>
              <w:rPr>
                <w:rFonts w:hint="eastAsia"/>
                <w:szCs w:val="21"/>
              </w:rPr>
            </w:pPr>
            <w:r>
              <w:rPr>
                <w:rFonts w:hint="eastAsia"/>
                <w:szCs w:val="21"/>
              </w:rPr>
              <w:t>信号类型：差动输入</w:t>
            </w:r>
          </w:p>
          <w:p w14:paraId="300AE059">
            <w:pPr>
              <w:spacing w:line="360" w:lineRule="auto"/>
              <w:jc w:val="left"/>
              <w:rPr>
                <w:rFonts w:hint="eastAsia"/>
                <w:szCs w:val="21"/>
              </w:rPr>
            </w:pPr>
            <w:r>
              <w:rPr>
                <w:rFonts w:hint="eastAsia"/>
                <w:szCs w:val="21"/>
              </w:rPr>
              <w:t>测量通道：三通道同步采样</w:t>
            </w:r>
          </w:p>
          <w:p w14:paraId="2C4D8A2E">
            <w:pPr>
              <w:spacing w:line="360" w:lineRule="auto"/>
              <w:jc w:val="left"/>
              <w:rPr>
                <w:rFonts w:hint="eastAsia"/>
                <w:szCs w:val="21"/>
              </w:rPr>
            </w:pPr>
            <w:r>
              <w:rPr>
                <w:rFonts w:hint="eastAsia"/>
                <w:szCs w:val="21"/>
              </w:rPr>
              <w:t>模数转换：32位</w:t>
            </w:r>
          </w:p>
          <w:p w14:paraId="35BAC401">
            <w:pPr>
              <w:spacing w:line="360" w:lineRule="auto"/>
              <w:jc w:val="left"/>
              <w:rPr>
                <w:rFonts w:hint="eastAsia"/>
                <w:szCs w:val="21"/>
              </w:rPr>
            </w:pPr>
            <w:r>
              <w:rPr>
                <w:rFonts w:hint="eastAsia"/>
                <w:szCs w:val="21"/>
              </w:rPr>
              <w:t>采样频率：1、5、10、50、100、200、400、1200Hz可选</w:t>
            </w:r>
          </w:p>
          <w:p w14:paraId="58FE242B">
            <w:pPr>
              <w:spacing w:line="360" w:lineRule="auto"/>
              <w:jc w:val="left"/>
              <w:rPr>
                <w:rFonts w:hint="eastAsia"/>
                <w:szCs w:val="21"/>
              </w:rPr>
            </w:pPr>
            <w:r>
              <w:rPr>
                <w:rFonts w:hint="eastAsia"/>
                <w:szCs w:val="21"/>
              </w:rPr>
              <w:t>通信接口：RJ45</w:t>
            </w:r>
          </w:p>
          <w:p w14:paraId="28BE5C3D">
            <w:pPr>
              <w:spacing w:line="360" w:lineRule="auto"/>
              <w:jc w:val="left"/>
              <w:rPr>
                <w:rFonts w:hint="eastAsia"/>
                <w:szCs w:val="21"/>
              </w:rPr>
            </w:pPr>
            <w:r>
              <w:rPr>
                <w:rFonts w:hint="eastAsia"/>
                <w:szCs w:val="21"/>
              </w:rPr>
              <w:t>存储模式：连续记录、触发记录两种可选</w:t>
            </w:r>
          </w:p>
          <w:p w14:paraId="29E5691A">
            <w:pPr>
              <w:spacing w:line="360" w:lineRule="auto"/>
              <w:jc w:val="left"/>
              <w:rPr>
                <w:rFonts w:hint="eastAsia"/>
                <w:szCs w:val="21"/>
              </w:rPr>
            </w:pPr>
            <w:r>
              <w:rPr>
                <w:rFonts w:hint="eastAsia"/>
                <w:szCs w:val="21"/>
              </w:rPr>
              <w:t>内存：128GB</w:t>
            </w:r>
          </w:p>
          <w:p w14:paraId="60FDD539">
            <w:pPr>
              <w:spacing w:line="360" w:lineRule="auto"/>
              <w:jc w:val="left"/>
              <w:rPr>
                <w:rFonts w:hint="eastAsia"/>
                <w:szCs w:val="21"/>
              </w:rPr>
            </w:pPr>
            <w:r>
              <w:rPr>
                <w:rFonts w:hint="eastAsia"/>
                <w:szCs w:val="21"/>
              </w:rPr>
              <w:t>电源：DC12V或 AC220V</w:t>
            </w:r>
          </w:p>
          <w:p w14:paraId="04E9D031">
            <w:pPr>
              <w:spacing w:line="360" w:lineRule="auto"/>
              <w:jc w:val="left"/>
              <w:rPr>
                <w:rFonts w:hint="eastAsia"/>
                <w:szCs w:val="21"/>
              </w:rPr>
            </w:pPr>
            <w:r>
              <w:rPr>
                <w:rFonts w:hint="eastAsia"/>
                <w:szCs w:val="21"/>
              </w:rPr>
              <w:t>工作环境：-20℃～60℃，10%～98%RH</w:t>
            </w:r>
          </w:p>
          <w:p w14:paraId="18E48B2B">
            <w:pPr>
              <w:spacing w:line="360" w:lineRule="auto"/>
              <w:jc w:val="left"/>
              <w:rPr>
                <w:rFonts w:hint="eastAsia"/>
                <w:szCs w:val="21"/>
              </w:rPr>
            </w:pPr>
            <w:r>
              <w:rPr>
                <w:rFonts w:hint="eastAsia"/>
                <w:szCs w:val="21"/>
              </w:rPr>
              <w:t>计量校准：提供有效的第三方检测报告</w:t>
            </w:r>
          </w:p>
        </w:tc>
      </w:tr>
      <w:tr w14:paraId="6898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7CBF421">
            <w:pPr>
              <w:spacing w:line="360" w:lineRule="auto"/>
              <w:jc w:val="center"/>
              <w:rPr>
                <w:rFonts w:hint="eastAsia"/>
                <w:szCs w:val="21"/>
              </w:rPr>
            </w:pPr>
            <w:r>
              <w:rPr>
                <w:rFonts w:hint="eastAsia"/>
                <w:szCs w:val="21"/>
              </w:rPr>
              <w:t>4</w:t>
            </w:r>
          </w:p>
        </w:tc>
        <w:tc>
          <w:tcPr>
            <w:tcW w:w="1960" w:type="dxa"/>
            <w:vAlign w:val="center"/>
          </w:tcPr>
          <w:p w14:paraId="76616064">
            <w:pPr>
              <w:spacing w:line="360" w:lineRule="auto"/>
              <w:jc w:val="center"/>
              <w:rPr>
                <w:rFonts w:hint="eastAsia"/>
                <w:szCs w:val="21"/>
              </w:rPr>
            </w:pPr>
            <w:r>
              <w:rPr>
                <w:rFonts w:hint="eastAsia"/>
                <w:szCs w:val="21"/>
              </w:rPr>
              <w:t>MEMS数字强震仪</w:t>
            </w:r>
          </w:p>
        </w:tc>
        <w:tc>
          <w:tcPr>
            <w:tcW w:w="4902" w:type="dxa"/>
            <w:vAlign w:val="center"/>
          </w:tcPr>
          <w:p w14:paraId="10BBC455">
            <w:pPr>
              <w:spacing w:line="360" w:lineRule="auto"/>
              <w:jc w:val="left"/>
              <w:rPr>
                <w:rFonts w:hint="eastAsia"/>
                <w:szCs w:val="21"/>
              </w:rPr>
            </w:pPr>
            <w:r>
              <w:rPr>
                <w:rFonts w:hint="eastAsia"/>
                <w:szCs w:val="21"/>
              </w:rPr>
              <w:t>测量范围：±4.0g</w:t>
            </w:r>
          </w:p>
          <w:p w14:paraId="0E67A8DB">
            <w:pPr>
              <w:spacing w:line="360" w:lineRule="auto"/>
              <w:jc w:val="left"/>
              <w:rPr>
                <w:rFonts w:hint="eastAsia"/>
                <w:szCs w:val="21"/>
              </w:rPr>
            </w:pPr>
            <w:r>
              <w:rPr>
                <w:rFonts w:hint="eastAsia"/>
                <w:szCs w:val="21"/>
              </w:rPr>
              <w:t>动态范围：90dB（0.1~20Hz@50Hz）</w:t>
            </w:r>
          </w:p>
          <w:p w14:paraId="39C580F9">
            <w:pPr>
              <w:spacing w:line="360" w:lineRule="auto"/>
              <w:jc w:val="left"/>
              <w:rPr>
                <w:rFonts w:hint="eastAsia"/>
                <w:szCs w:val="21"/>
              </w:rPr>
            </w:pPr>
            <w:r>
              <w:rPr>
                <w:rFonts w:hint="eastAsia"/>
                <w:szCs w:val="21"/>
              </w:rPr>
              <w:t>测量方向：三向</w:t>
            </w:r>
          </w:p>
          <w:p w14:paraId="68F198C3">
            <w:pPr>
              <w:spacing w:line="360" w:lineRule="auto"/>
              <w:jc w:val="left"/>
              <w:rPr>
                <w:rFonts w:hint="eastAsia"/>
                <w:szCs w:val="21"/>
              </w:rPr>
            </w:pPr>
            <w:r>
              <w:rPr>
                <w:rFonts w:hint="eastAsia"/>
                <w:szCs w:val="21"/>
              </w:rPr>
              <w:t>线性度：优于1%</w:t>
            </w:r>
          </w:p>
          <w:p w14:paraId="177E558C">
            <w:pPr>
              <w:spacing w:line="360" w:lineRule="auto"/>
              <w:jc w:val="left"/>
              <w:rPr>
                <w:rFonts w:hint="eastAsia"/>
                <w:szCs w:val="21"/>
              </w:rPr>
            </w:pPr>
            <w:r>
              <w:rPr>
                <w:rFonts w:hint="eastAsia"/>
                <w:szCs w:val="21"/>
              </w:rPr>
              <w:t>频响范围：0~90Hz</w:t>
            </w:r>
          </w:p>
          <w:p w14:paraId="64A49421">
            <w:pPr>
              <w:spacing w:line="360" w:lineRule="auto"/>
              <w:jc w:val="left"/>
              <w:rPr>
                <w:rFonts w:hint="eastAsia"/>
                <w:szCs w:val="21"/>
              </w:rPr>
            </w:pPr>
            <w:r>
              <w:rPr>
                <w:rFonts w:hint="eastAsia"/>
                <w:szCs w:val="21"/>
              </w:rPr>
              <w:t>横向灵敏度：＜1%</w:t>
            </w:r>
          </w:p>
          <w:p w14:paraId="18D39FA4">
            <w:pPr>
              <w:spacing w:line="360" w:lineRule="auto"/>
              <w:jc w:val="left"/>
              <w:rPr>
                <w:rFonts w:hint="eastAsia"/>
                <w:szCs w:val="21"/>
              </w:rPr>
            </w:pPr>
            <w:r>
              <w:rPr>
                <w:rFonts w:hint="eastAsia"/>
                <w:szCs w:val="21"/>
              </w:rPr>
              <w:t>模数转换：20位</w:t>
            </w:r>
          </w:p>
          <w:p w14:paraId="09A00E67">
            <w:pPr>
              <w:spacing w:line="360" w:lineRule="auto"/>
              <w:jc w:val="left"/>
              <w:rPr>
                <w:rFonts w:hint="eastAsia"/>
                <w:szCs w:val="21"/>
              </w:rPr>
            </w:pPr>
            <w:r>
              <w:rPr>
                <w:rFonts w:hint="eastAsia"/>
                <w:szCs w:val="21"/>
              </w:rPr>
              <w:t>采样率：1、10、20、50、100、200、500Hz可选</w:t>
            </w:r>
          </w:p>
          <w:p w14:paraId="5C554541">
            <w:pPr>
              <w:spacing w:line="360" w:lineRule="auto"/>
              <w:jc w:val="left"/>
              <w:rPr>
                <w:rFonts w:hint="eastAsia"/>
                <w:szCs w:val="21"/>
              </w:rPr>
            </w:pPr>
            <w:r>
              <w:rPr>
                <w:rFonts w:hint="eastAsia"/>
                <w:szCs w:val="21"/>
              </w:rPr>
              <w:t>信号类型：差动输入</w:t>
            </w:r>
          </w:p>
          <w:p w14:paraId="4E4EC586">
            <w:pPr>
              <w:spacing w:line="360" w:lineRule="auto"/>
              <w:jc w:val="left"/>
              <w:rPr>
                <w:rFonts w:hint="eastAsia"/>
                <w:szCs w:val="21"/>
              </w:rPr>
            </w:pPr>
            <w:r>
              <w:rPr>
                <w:rFonts w:hint="eastAsia"/>
                <w:szCs w:val="21"/>
              </w:rPr>
              <w:t>通信接口：RJ45、RS485和LoRa可选</w:t>
            </w:r>
          </w:p>
          <w:p w14:paraId="3EFC89A2">
            <w:pPr>
              <w:spacing w:line="360" w:lineRule="auto"/>
              <w:jc w:val="left"/>
              <w:rPr>
                <w:rFonts w:hint="eastAsia"/>
                <w:szCs w:val="21"/>
              </w:rPr>
            </w:pPr>
            <w:r>
              <w:rPr>
                <w:rFonts w:hint="eastAsia"/>
                <w:szCs w:val="21"/>
              </w:rPr>
              <w:t>电源：DC9-36V</w:t>
            </w:r>
          </w:p>
          <w:p w14:paraId="7938F187">
            <w:pPr>
              <w:spacing w:line="360" w:lineRule="auto"/>
              <w:jc w:val="left"/>
              <w:rPr>
                <w:rFonts w:hint="eastAsia"/>
                <w:szCs w:val="21"/>
              </w:rPr>
            </w:pPr>
            <w:r>
              <w:rPr>
                <w:rFonts w:hint="eastAsia"/>
                <w:szCs w:val="21"/>
              </w:rPr>
              <w:t>工作环境：-20℃～60℃，10%～98%RH</w:t>
            </w:r>
          </w:p>
          <w:p w14:paraId="1896B48B">
            <w:pPr>
              <w:spacing w:line="360" w:lineRule="auto"/>
              <w:jc w:val="left"/>
              <w:rPr>
                <w:rFonts w:hint="eastAsia"/>
                <w:szCs w:val="21"/>
              </w:rPr>
            </w:pPr>
            <w:r>
              <w:rPr>
                <w:rFonts w:hint="eastAsia"/>
                <w:szCs w:val="21"/>
              </w:rPr>
              <w:t>计量校准：提供有效的第三方检测报告</w:t>
            </w:r>
          </w:p>
        </w:tc>
      </w:tr>
      <w:tr w14:paraId="3C31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DB88018">
            <w:pPr>
              <w:spacing w:line="360" w:lineRule="auto"/>
              <w:jc w:val="center"/>
              <w:rPr>
                <w:rFonts w:hint="eastAsia"/>
                <w:szCs w:val="21"/>
              </w:rPr>
            </w:pPr>
            <w:r>
              <w:rPr>
                <w:rFonts w:hint="eastAsia"/>
                <w:szCs w:val="21"/>
              </w:rPr>
              <w:t>5</w:t>
            </w:r>
          </w:p>
        </w:tc>
        <w:tc>
          <w:tcPr>
            <w:tcW w:w="1960" w:type="dxa"/>
            <w:vAlign w:val="center"/>
          </w:tcPr>
          <w:p w14:paraId="3A16F781">
            <w:pPr>
              <w:spacing w:line="360" w:lineRule="auto"/>
              <w:jc w:val="center"/>
              <w:rPr>
                <w:rFonts w:hint="eastAsia"/>
                <w:szCs w:val="21"/>
              </w:rPr>
            </w:pPr>
            <w:r>
              <w:rPr>
                <w:rFonts w:hint="eastAsia"/>
                <w:szCs w:val="21"/>
              </w:rPr>
              <w:t>超声风速仪</w:t>
            </w:r>
          </w:p>
        </w:tc>
        <w:tc>
          <w:tcPr>
            <w:tcW w:w="4902" w:type="dxa"/>
            <w:vAlign w:val="center"/>
          </w:tcPr>
          <w:p w14:paraId="1E21E117">
            <w:pPr>
              <w:spacing w:line="360" w:lineRule="auto"/>
              <w:jc w:val="left"/>
              <w:rPr>
                <w:rFonts w:hint="eastAsia"/>
                <w:szCs w:val="21"/>
              </w:rPr>
            </w:pPr>
            <w:r>
              <w:rPr>
                <w:rFonts w:hint="eastAsia"/>
                <w:szCs w:val="21"/>
              </w:rPr>
              <w:t xml:space="preserve">风速测量范围：0～60m/s </w:t>
            </w:r>
          </w:p>
          <w:p w14:paraId="14C4DEF0">
            <w:pPr>
              <w:spacing w:line="360" w:lineRule="auto"/>
              <w:jc w:val="left"/>
              <w:rPr>
                <w:rFonts w:hint="eastAsia"/>
                <w:szCs w:val="21"/>
              </w:rPr>
            </w:pPr>
            <w:r>
              <w:rPr>
                <w:rFonts w:hint="eastAsia"/>
                <w:szCs w:val="21"/>
              </w:rPr>
              <w:t>风速精度：±0.3m/s</w:t>
            </w:r>
          </w:p>
          <w:p w14:paraId="5FA95DC6">
            <w:pPr>
              <w:spacing w:line="360" w:lineRule="auto"/>
              <w:jc w:val="left"/>
              <w:rPr>
                <w:rFonts w:hint="eastAsia"/>
                <w:szCs w:val="21"/>
              </w:rPr>
            </w:pPr>
            <w:r>
              <w:rPr>
                <w:rFonts w:hint="eastAsia"/>
                <w:szCs w:val="21"/>
              </w:rPr>
              <w:t>风速分辨率：0.1m/s</w:t>
            </w:r>
          </w:p>
          <w:p w14:paraId="7F7F64CB">
            <w:pPr>
              <w:spacing w:line="360" w:lineRule="auto"/>
              <w:jc w:val="left"/>
              <w:rPr>
                <w:rFonts w:hint="eastAsia"/>
                <w:szCs w:val="21"/>
              </w:rPr>
            </w:pPr>
            <w:r>
              <w:rPr>
                <w:rFonts w:hint="eastAsia"/>
                <w:szCs w:val="21"/>
              </w:rPr>
              <w:t>风向测量范围：0～360°</w:t>
            </w:r>
          </w:p>
          <w:p w14:paraId="554AC737">
            <w:pPr>
              <w:spacing w:line="360" w:lineRule="auto"/>
              <w:jc w:val="left"/>
              <w:rPr>
                <w:rFonts w:hint="eastAsia"/>
                <w:szCs w:val="21"/>
              </w:rPr>
            </w:pPr>
            <w:r>
              <w:rPr>
                <w:rFonts w:hint="eastAsia"/>
                <w:szCs w:val="21"/>
              </w:rPr>
              <w:t>风向精度：±3°</w:t>
            </w:r>
          </w:p>
          <w:p w14:paraId="30C97268">
            <w:pPr>
              <w:spacing w:line="360" w:lineRule="auto"/>
              <w:jc w:val="left"/>
              <w:rPr>
                <w:rFonts w:hint="eastAsia"/>
                <w:szCs w:val="21"/>
              </w:rPr>
            </w:pPr>
            <w:r>
              <w:rPr>
                <w:rFonts w:hint="eastAsia"/>
                <w:szCs w:val="21"/>
              </w:rPr>
              <w:t>供电电压：12-30VDC</w:t>
            </w:r>
          </w:p>
          <w:p w14:paraId="3B36C910">
            <w:pPr>
              <w:spacing w:line="360" w:lineRule="auto"/>
              <w:jc w:val="left"/>
              <w:rPr>
                <w:rFonts w:hint="eastAsia"/>
                <w:szCs w:val="21"/>
              </w:rPr>
            </w:pPr>
            <w:r>
              <w:rPr>
                <w:rFonts w:hint="eastAsia"/>
                <w:szCs w:val="21"/>
              </w:rPr>
              <w:t>信号输出：RS485</w:t>
            </w:r>
          </w:p>
          <w:p w14:paraId="3FCC3704">
            <w:pPr>
              <w:spacing w:line="360" w:lineRule="auto"/>
              <w:jc w:val="left"/>
              <w:rPr>
                <w:rFonts w:hint="eastAsia"/>
                <w:szCs w:val="21"/>
              </w:rPr>
            </w:pPr>
            <w:r>
              <w:rPr>
                <w:rFonts w:hint="eastAsia"/>
                <w:szCs w:val="21"/>
              </w:rPr>
              <w:t>工作温度：-40～85℃</w:t>
            </w:r>
          </w:p>
          <w:p w14:paraId="186763E1">
            <w:pPr>
              <w:spacing w:line="360" w:lineRule="auto"/>
              <w:jc w:val="left"/>
              <w:rPr>
                <w:rFonts w:hint="eastAsia"/>
                <w:szCs w:val="21"/>
              </w:rPr>
            </w:pPr>
            <w:r>
              <w:rPr>
                <w:rFonts w:hint="eastAsia"/>
                <w:szCs w:val="21"/>
              </w:rPr>
              <w:t>工作湿度：5%～100%RH</w:t>
            </w:r>
          </w:p>
          <w:p w14:paraId="516F76E5">
            <w:pPr>
              <w:spacing w:line="360" w:lineRule="auto"/>
              <w:jc w:val="left"/>
              <w:rPr>
                <w:rFonts w:hint="eastAsia"/>
                <w:szCs w:val="21"/>
              </w:rPr>
            </w:pPr>
            <w:r>
              <w:rPr>
                <w:rFonts w:hint="eastAsia"/>
                <w:szCs w:val="21"/>
              </w:rPr>
              <w:t>计量校准：提供有效的第三方检测报告</w:t>
            </w:r>
          </w:p>
        </w:tc>
      </w:tr>
      <w:tr w14:paraId="5D67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FBE6EE1">
            <w:pPr>
              <w:spacing w:line="360" w:lineRule="auto"/>
              <w:jc w:val="center"/>
              <w:rPr>
                <w:rFonts w:hint="eastAsia"/>
                <w:szCs w:val="21"/>
              </w:rPr>
            </w:pPr>
            <w:r>
              <w:rPr>
                <w:rFonts w:hint="eastAsia"/>
                <w:szCs w:val="21"/>
              </w:rPr>
              <w:t>6</w:t>
            </w:r>
          </w:p>
        </w:tc>
        <w:tc>
          <w:tcPr>
            <w:tcW w:w="1960" w:type="dxa"/>
            <w:vAlign w:val="center"/>
          </w:tcPr>
          <w:p w14:paraId="07B096A4">
            <w:pPr>
              <w:spacing w:line="360" w:lineRule="auto"/>
              <w:jc w:val="center"/>
              <w:rPr>
                <w:rFonts w:hint="eastAsia"/>
                <w:szCs w:val="21"/>
              </w:rPr>
            </w:pPr>
            <w:r>
              <w:rPr>
                <w:rFonts w:hint="eastAsia"/>
                <w:szCs w:val="21"/>
              </w:rPr>
              <w:t>球形摄像机</w:t>
            </w:r>
          </w:p>
        </w:tc>
        <w:tc>
          <w:tcPr>
            <w:tcW w:w="4902" w:type="dxa"/>
            <w:vAlign w:val="center"/>
          </w:tcPr>
          <w:p w14:paraId="1C8FD072">
            <w:pPr>
              <w:spacing w:line="360" w:lineRule="auto"/>
              <w:jc w:val="left"/>
              <w:rPr>
                <w:rFonts w:hint="eastAsia"/>
                <w:szCs w:val="21"/>
              </w:rPr>
            </w:pPr>
            <w:r>
              <w:rPr>
                <w:rFonts w:hint="eastAsia"/>
                <w:szCs w:val="21"/>
              </w:rPr>
              <w:t>像素：400万</w:t>
            </w:r>
          </w:p>
          <w:p w14:paraId="543C6819">
            <w:pPr>
              <w:spacing w:line="360" w:lineRule="auto"/>
              <w:jc w:val="left"/>
              <w:rPr>
                <w:rFonts w:hint="eastAsia"/>
                <w:szCs w:val="21"/>
              </w:rPr>
            </w:pPr>
            <w:r>
              <w:rPr>
                <w:rFonts w:hint="eastAsia"/>
                <w:szCs w:val="21"/>
              </w:rPr>
              <w:t>照度：0.005Lux@F1.6(彩色)，0.001 Lux@F1.6(黑白)，0 Lux with IR</w:t>
            </w:r>
          </w:p>
          <w:p w14:paraId="2C727A40">
            <w:pPr>
              <w:spacing w:line="360" w:lineRule="auto"/>
              <w:jc w:val="left"/>
              <w:rPr>
                <w:rFonts w:hint="eastAsia"/>
                <w:szCs w:val="21"/>
              </w:rPr>
            </w:pPr>
            <w:r>
              <w:rPr>
                <w:rFonts w:hint="eastAsia"/>
                <w:szCs w:val="21"/>
              </w:rPr>
              <w:t>调焦：23倍光学变倍，16倍数字变倍</w:t>
            </w:r>
          </w:p>
          <w:p w14:paraId="3EC8A3B2">
            <w:pPr>
              <w:spacing w:line="360" w:lineRule="auto"/>
              <w:jc w:val="left"/>
              <w:rPr>
                <w:rFonts w:hint="eastAsia"/>
                <w:szCs w:val="21"/>
              </w:rPr>
            </w:pPr>
            <w:r>
              <w:rPr>
                <w:rFonts w:hint="eastAsia"/>
                <w:szCs w:val="21"/>
              </w:rPr>
              <w:t>距离：红外补光150m，白光100m</w:t>
            </w:r>
          </w:p>
          <w:p w14:paraId="323CB137">
            <w:pPr>
              <w:spacing w:line="360" w:lineRule="auto"/>
              <w:jc w:val="left"/>
              <w:rPr>
                <w:rFonts w:hint="eastAsia"/>
                <w:szCs w:val="21"/>
              </w:rPr>
            </w:pPr>
            <w:r>
              <w:rPr>
                <w:rFonts w:hint="eastAsia"/>
                <w:szCs w:val="21"/>
              </w:rPr>
              <w:t>配套：内置加热玻璃，有效除雾</w:t>
            </w:r>
          </w:p>
        </w:tc>
      </w:tr>
      <w:tr w14:paraId="243B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290BE17">
            <w:pPr>
              <w:spacing w:line="360" w:lineRule="auto"/>
              <w:jc w:val="center"/>
              <w:rPr>
                <w:rFonts w:hint="eastAsia"/>
                <w:szCs w:val="21"/>
              </w:rPr>
            </w:pPr>
            <w:r>
              <w:rPr>
                <w:rFonts w:hint="eastAsia"/>
                <w:szCs w:val="21"/>
              </w:rPr>
              <w:t>7</w:t>
            </w:r>
          </w:p>
        </w:tc>
        <w:tc>
          <w:tcPr>
            <w:tcW w:w="1960" w:type="dxa"/>
            <w:vAlign w:val="center"/>
          </w:tcPr>
          <w:p w14:paraId="65D955DD">
            <w:pPr>
              <w:spacing w:line="360" w:lineRule="auto"/>
              <w:jc w:val="center"/>
              <w:rPr>
                <w:rFonts w:hint="eastAsia"/>
                <w:szCs w:val="21"/>
              </w:rPr>
            </w:pPr>
            <w:r>
              <w:rPr>
                <w:rFonts w:hint="eastAsia"/>
                <w:szCs w:val="21"/>
              </w:rPr>
              <w:t>光纤光栅温度计</w:t>
            </w:r>
          </w:p>
        </w:tc>
        <w:tc>
          <w:tcPr>
            <w:tcW w:w="4902" w:type="dxa"/>
            <w:vAlign w:val="center"/>
          </w:tcPr>
          <w:p w14:paraId="5DBFF37F">
            <w:pPr>
              <w:spacing w:line="360" w:lineRule="auto"/>
              <w:jc w:val="left"/>
              <w:rPr>
                <w:rFonts w:hint="eastAsia"/>
                <w:szCs w:val="21"/>
              </w:rPr>
            </w:pPr>
            <w:r>
              <w:rPr>
                <w:rFonts w:hint="eastAsia"/>
                <w:szCs w:val="21"/>
              </w:rPr>
              <w:t>量程：-40℃～+120℃</w:t>
            </w:r>
          </w:p>
          <w:p w14:paraId="27ED44C7">
            <w:pPr>
              <w:spacing w:line="360" w:lineRule="auto"/>
              <w:jc w:val="left"/>
              <w:rPr>
                <w:rFonts w:hint="eastAsia"/>
                <w:szCs w:val="21"/>
              </w:rPr>
            </w:pPr>
            <w:r>
              <w:rPr>
                <w:rFonts w:hint="eastAsia"/>
                <w:szCs w:val="21"/>
              </w:rPr>
              <w:t>分辨率：0.1℃</w:t>
            </w:r>
          </w:p>
          <w:p w14:paraId="54744083">
            <w:pPr>
              <w:spacing w:line="360" w:lineRule="auto"/>
              <w:jc w:val="left"/>
              <w:rPr>
                <w:rFonts w:hint="eastAsia"/>
                <w:szCs w:val="21"/>
              </w:rPr>
            </w:pPr>
            <w:r>
              <w:rPr>
                <w:rFonts w:hint="eastAsia"/>
                <w:szCs w:val="21"/>
              </w:rPr>
              <w:t>测量精度：0.3℃</w:t>
            </w:r>
          </w:p>
          <w:p w14:paraId="0ADBC09A">
            <w:pPr>
              <w:spacing w:line="360" w:lineRule="auto"/>
              <w:jc w:val="left"/>
              <w:rPr>
                <w:rFonts w:hint="eastAsia"/>
                <w:szCs w:val="21"/>
              </w:rPr>
            </w:pPr>
            <w:r>
              <w:rPr>
                <w:rFonts w:hint="eastAsia"/>
                <w:szCs w:val="21"/>
              </w:rPr>
              <w:t>中心波长：1528～1568nm</w:t>
            </w:r>
          </w:p>
          <w:p w14:paraId="2B7893B6">
            <w:pPr>
              <w:spacing w:line="360" w:lineRule="auto"/>
              <w:jc w:val="left"/>
              <w:rPr>
                <w:rFonts w:hint="eastAsia"/>
                <w:szCs w:val="21"/>
              </w:rPr>
            </w:pPr>
            <w:r>
              <w:rPr>
                <w:rFonts w:hint="eastAsia"/>
                <w:szCs w:val="21"/>
              </w:rPr>
              <w:t>反射率：≥90%</w:t>
            </w:r>
          </w:p>
          <w:p w14:paraId="4BC776B2">
            <w:pPr>
              <w:spacing w:line="360" w:lineRule="auto"/>
              <w:jc w:val="left"/>
              <w:rPr>
                <w:rFonts w:hint="eastAsia"/>
                <w:szCs w:val="21"/>
              </w:rPr>
            </w:pPr>
            <w:r>
              <w:rPr>
                <w:rFonts w:hint="eastAsia"/>
                <w:szCs w:val="21"/>
              </w:rPr>
              <w:t xml:space="preserve">连接方式：FC/APC </w:t>
            </w:r>
          </w:p>
          <w:p w14:paraId="3E2172BD">
            <w:pPr>
              <w:spacing w:line="360" w:lineRule="auto"/>
              <w:jc w:val="left"/>
              <w:rPr>
                <w:rFonts w:hint="eastAsia"/>
                <w:szCs w:val="21"/>
              </w:rPr>
            </w:pPr>
            <w:r>
              <w:rPr>
                <w:rFonts w:hint="eastAsia"/>
                <w:szCs w:val="21"/>
              </w:rPr>
              <w:t>计量校准：提供有效的第三方检测报告</w:t>
            </w:r>
          </w:p>
        </w:tc>
      </w:tr>
      <w:tr w14:paraId="186A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EC14A63">
            <w:pPr>
              <w:spacing w:line="360" w:lineRule="auto"/>
              <w:jc w:val="center"/>
              <w:rPr>
                <w:rFonts w:hint="eastAsia"/>
                <w:szCs w:val="21"/>
              </w:rPr>
            </w:pPr>
            <w:r>
              <w:rPr>
                <w:rFonts w:hint="eastAsia"/>
                <w:szCs w:val="21"/>
              </w:rPr>
              <w:t>8</w:t>
            </w:r>
          </w:p>
        </w:tc>
        <w:tc>
          <w:tcPr>
            <w:tcW w:w="1960" w:type="dxa"/>
            <w:vAlign w:val="center"/>
          </w:tcPr>
          <w:p w14:paraId="784F80A4">
            <w:pPr>
              <w:spacing w:line="360" w:lineRule="auto"/>
              <w:jc w:val="center"/>
              <w:rPr>
                <w:rFonts w:hint="eastAsia"/>
                <w:szCs w:val="21"/>
              </w:rPr>
            </w:pPr>
            <w:r>
              <w:rPr>
                <w:rFonts w:hint="eastAsia"/>
                <w:szCs w:val="21"/>
              </w:rPr>
              <w:t>光纤光栅应变计</w:t>
            </w:r>
          </w:p>
        </w:tc>
        <w:tc>
          <w:tcPr>
            <w:tcW w:w="4902" w:type="dxa"/>
            <w:vAlign w:val="center"/>
          </w:tcPr>
          <w:p w14:paraId="1D071B20">
            <w:pPr>
              <w:spacing w:line="360" w:lineRule="auto"/>
              <w:jc w:val="left"/>
              <w:rPr>
                <w:rFonts w:hint="eastAsia"/>
                <w:szCs w:val="21"/>
              </w:rPr>
            </w:pPr>
            <w:r>
              <w:rPr>
                <w:rFonts w:hint="eastAsia"/>
                <w:szCs w:val="21"/>
              </w:rPr>
              <w:t>量程：±1500με</w:t>
            </w:r>
          </w:p>
          <w:p w14:paraId="34A864BB">
            <w:pPr>
              <w:spacing w:line="360" w:lineRule="auto"/>
              <w:jc w:val="left"/>
              <w:rPr>
                <w:rFonts w:hint="eastAsia"/>
                <w:szCs w:val="21"/>
              </w:rPr>
            </w:pPr>
            <w:r>
              <w:rPr>
                <w:rFonts w:hint="eastAsia"/>
                <w:szCs w:val="21"/>
              </w:rPr>
              <w:t xml:space="preserve">分辨率：±1με                       </w:t>
            </w:r>
          </w:p>
          <w:p w14:paraId="3B2D2610">
            <w:pPr>
              <w:spacing w:line="360" w:lineRule="auto"/>
              <w:jc w:val="left"/>
              <w:rPr>
                <w:rFonts w:hint="eastAsia"/>
                <w:szCs w:val="21"/>
              </w:rPr>
            </w:pPr>
            <w:r>
              <w:rPr>
                <w:rFonts w:hint="eastAsia"/>
                <w:szCs w:val="21"/>
              </w:rPr>
              <w:t>测量精度：0.2%F.S</w:t>
            </w:r>
          </w:p>
          <w:p w14:paraId="4E19FC45">
            <w:pPr>
              <w:spacing w:line="360" w:lineRule="auto"/>
              <w:jc w:val="left"/>
              <w:rPr>
                <w:rFonts w:hint="eastAsia"/>
                <w:szCs w:val="21"/>
              </w:rPr>
            </w:pPr>
            <w:r>
              <w:rPr>
                <w:rFonts w:hint="eastAsia"/>
                <w:szCs w:val="21"/>
              </w:rPr>
              <w:t>重复性误差：≤0.5%</w:t>
            </w:r>
          </w:p>
          <w:p w14:paraId="55EFAF58">
            <w:pPr>
              <w:spacing w:line="360" w:lineRule="auto"/>
              <w:jc w:val="left"/>
              <w:rPr>
                <w:rFonts w:hint="eastAsia"/>
                <w:szCs w:val="21"/>
              </w:rPr>
            </w:pPr>
            <w:r>
              <w:rPr>
                <w:rFonts w:hint="eastAsia"/>
                <w:szCs w:val="21"/>
              </w:rPr>
              <w:t xml:space="preserve">中心波长：1528～1568nm   </w:t>
            </w:r>
          </w:p>
          <w:p w14:paraId="6726995C">
            <w:pPr>
              <w:spacing w:line="360" w:lineRule="auto"/>
              <w:jc w:val="left"/>
              <w:rPr>
                <w:rFonts w:hint="eastAsia"/>
                <w:szCs w:val="21"/>
              </w:rPr>
            </w:pPr>
            <w:r>
              <w:rPr>
                <w:rFonts w:hint="eastAsia"/>
                <w:szCs w:val="21"/>
              </w:rPr>
              <w:t xml:space="preserve">反射率：≥90%                                                              </w:t>
            </w:r>
          </w:p>
          <w:p w14:paraId="4ED648D2">
            <w:pPr>
              <w:spacing w:line="360" w:lineRule="auto"/>
              <w:jc w:val="left"/>
              <w:rPr>
                <w:rFonts w:hint="eastAsia"/>
                <w:szCs w:val="21"/>
              </w:rPr>
            </w:pPr>
            <w:r>
              <w:rPr>
                <w:rFonts w:hint="eastAsia"/>
                <w:szCs w:val="21"/>
              </w:rPr>
              <w:t xml:space="preserve">连接方式：FC/APC                          </w:t>
            </w:r>
          </w:p>
          <w:p w14:paraId="0DB4776F">
            <w:pPr>
              <w:spacing w:line="360" w:lineRule="auto"/>
              <w:jc w:val="left"/>
              <w:rPr>
                <w:rFonts w:hint="eastAsia"/>
                <w:szCs w:val="21"/>
              </w:rPr>
            </w:pPr>
            <w:r>
              <w:rPr>
                <w:rFonts w:hint="eastAsia"/>
                <w:szCs w:val="21"/>
              </w:rPr>
              <w:t>工作温度：-30℃～+85℃</w:t>
            </w:r>
          </w:p>
          <w:p w14:paraId="5F569A50">
            <w:pPr>
              <w:spacing w:line="360" w:lineRule="auto"/>
              <w:jc w:val="left"/>
              <w:rPr>
                <w:rFonts w:hint="eastAsia"/>
                <w:szCs w:val="21"/>
              </w:rPr>
            </w:pPr>
            <w:r>
              <w:rPr>
                <w:rFonts w:hint="eastAsia"/>
                <w:szCs w:val="21"/>
              </w:rPr>
              <w:t>计量校准：提供有效的第三方检测报告</w:t>
            </w:r>
          </w:p>
        </w:tc>
      </w:tr>
      <w:tr w14:paraId="329B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58951EF2">
            <w:pPr>
              <w:spacing w:line="360" w:lineRule="auto"/>
              <w:jc w:val="center"/>
              <w:rPr>
                <w:rFonts w:hint="eastAsia"/>
                <w:szCs w:val="21"/>
              </w:rPr>
            </w:pPr>
            <w:r>
              <w:rPr>
                <w:rFonts w:hint="eastAsia"/>
                <w:szCs w:val="21"/>
              </w:rPr>
              <w:t>9</w:t>
            </w:r>
          </w:p>
        </w:tc>
        <w:tc>
          <w:tcPr>
            <w:tcW w:w="1960" w:type="dxa"/>
            <w:vAlign w:val="center"/>
          </w:tcPr>
          <w:p w14:paraId="6BD1015A">
            <w:pPr>
              <w:spacing w:line="360" w:lineRule="auto"/>
              <w:jc w:val="center"/>
              <w:rPr>
                <w:rFonts w:hint="eastAsia"/>
                <w:szCs w:val="21"/>
              </w:rPr>
            </w:pPr>
            <w:r>
              <w:rPr>
                <w:rFonts w:hint="eastAsia"/>
                <w:szCs w:val="21"/>
              </w:rPr>
              <w:t>挠度仪</w:t>
            </w:r>
          </w:p>
        </w:tc>
        <w:tc>
          <w:tcPr>
            <w:tcW w:w="4902" w:type="dxa"/>
            <w:vAlign w:val="center"/>
          </w:tcPr>
          <w:p w14:paraId="4C2DD8EC">
            <w:pPr>
              <w:spacing w:line="360" w:lineRule="auto"/>
              <w:jc w:val="left"/>
              <w:rPr>
                <w:rFonts w:hint="eastAsia"/>
                <w:szCs w:val="21"/>
              </w:rPr>
            </w:pPr>
            <w:r>
              <w:rPr>
                <w:rFonts w:hint="eastAsia"/>
                <w:szCs w:val="21"/>
              </w:rPr>
              <w:t>测量距离：1-500m</w:t>
            </w:r>
          </w:p>
          <w:p w14:paraId="15E7C00F">
            <w:pPr>
              <w:spacing w:line="360" w:lineRule="auto"/>
              <w:jc w:val="left"/>
              <w:rPr>
                <w:rFonts w:hint="eastAsia"/>
                <w:szCs w:val="21"/>
              </w:rPr>
            </w:pPr>
            <w:r>
              <w:rPr>
                <w:rFonts w:hint="eastAsia"/>
                <w:szCs w:val="21"/>
              </w:rPr>
              <w:t>测量精度：±0.05mm（20m距离）</w:t>
            </w:r>
          </w:p>
          <w:p w14:paraId="76BFCF9F">
            <w:pPr>
              <w:spacing w:line="360" w:lineRule="auto"/>
              <w:jc w:val="left"/>
              <w:rPr>
                <w:rFonts w:hint="eastAsia"/>
                <w:szCs w:val="21"/>
              </w:rPr>
            </w:pPr>
            <w:r>
              <w:rPr>
                <w:rFonts w:hint="eastAsia"/>
                <w:szCs w:val="21"/>
              </w:rPr>
              <w:t>采样频率：1-50Hz</w:t>
            </w:r>
          </w:p>
          <w:p w14:paraId="378CEE3D">
            <w:pPr>
              <w:spacing w:line="360" w:lineRule="auto"/>
              <w:jc w:val="left"/>
              <w:rPr>
                <w:rFonts w:hint="eastAsia"/>
                <w:szCs w:val="21"/>
              </w:rPr>
            </w:pPr>
            <w:r>
              <w:rPr>
                <w:rFonts w:hint="eastAsia"/>
                <w:szCs w:val="21"/>
              </w:rPr>
              <w:t>传输方式：4G/Ethernet（MQTT/TCP协议）</w:t>
            </w:r>
          </w:p>
          <w:p w14:paraId="349C6E28">
            <w:pPr>
              <w:spacing w:line="360" w:lineRule="auto"/>
              <w:jc w:val="left"/>
              <w:rPr>
                <w:rFonts w:hint="eastAsia"/>
                <w:szCs w:val="21"/>
              </w:rPr>
            </w:pPr>
            <w:r>
              <w:rPr>
                <w:rFonts w:hint="eastAsia"/>
                <w:szCs w:val="21"/>
              </w:rPr>
              <w:t>供电电压：DC 12-36V</w:t>
            </w:r>
          </w:p>
          <w:p w14:paraId="703ABFC2">
            <w:pPr>
              <w:spacing w:line="360" w:lineRule="auto"/>
              <w:jc w:val="left"/>
              <w:rPr>
                <w:rFonts w:hint="eastAsia"/>
                <w:szCs w:val="21"/>
              </w:rPr>
            </w:pPr>
            <w:r>
              <w:rPr>
                <w:rFonts w:hint="eastAsia"/>
                <w:szCs w:val="21"/>
              </w:rPr>
              <w:t>工作温度：-35℃～80℃</w:t>
            </w:r>
          </w:p>
          <w:p w14:paraId="18DB5D68">
            <w:pPr>
              <w:spacing w:line="360" w:lineRule="auto"/>
              <w:jc w:val="left"/>
              <w:rPr>
                <w:rFonts w:hint="eastAsia"/>
                <w:szCs w:val="21"/>
              </w:rPr>
            </w:pPr>
            <w:r>
              <w:rPr>
                <w:rFonts w:hint="eastAsia"/>
                <w:szCs w:val="21"/>
              </w:rPr>
              <w:t>计量校准：提供有效的第三方检测报告</w:t>
            </w:r>
          </w:p>
        </w:tc>
      </w:tr>
      <w:tr w14:paraId="0BF0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1BC43CA">
            <w:pPr>
              <w:spacing w:line="360" w:lineRule="auto"/>
              <w:jc w:val="center"/>
              <w:rPr>
                <w:rFonts w:hint="eastAsia"/>
                <w:szCs w:val="21"/>
              </w:rPr>
            </w:pPr>
            <w:r>
              <w:rPr>
                <w:rFonts w:hint="eastAsia"/>
                <w:szCs w:val="21"/>
              </w:rPr>
              <w:t>10</w:t>
            </w:r>
          </w:p>
        </w:tc>
        <w:tc>
          <w:tcPr>
            <w:tcW w:w="1960" w:type="dxa"/>
            <w:vAlign w:val="center"/>
          </w:tcPr>
          <w:p w14:paraId="2E816032">
            <w:pPr>
              <w:spacing w:line="360" w:lineRule="auto"/>
              <w:jc w:val="center"/>
              <w:rPr>
                <w:rFonts w:hint="eastAsia"/>
                <w:szCs w:val="21"/>
              </w:rPr>
            </w:pPr>
            <w:r>
              <w:rPr>
                <w:rFonts w:hint="eastAsia"/>
                <w:szCs w:val="21"/>
              </w:rPr>
              <w:t>GNSS</w:t>
            </w:r>
          </w:p>
        </w:tc>
        <w:tc>
          <w:tcPr>
            <w:tcW w:w="4902" w:type="dxa"/>
            <w:vAlign w:val="center"/>
          </w:tcPr>
          <w:p w14:paraId="34542067">
            <w:pPr>
              <w:spacing w:line="360" w:lineRule="auto"/>
              <w:jc w:val="left"/>
              <w:rPr>
                <w:rFonts w:hint="eastAsia"/>
                <w:szCs w:val="21"/>
              </w:rPr>
            </w:pPr>
            <w:r>
              <w:rPr>
                <w:rFonts w:hint="eastAsia"/>
                <w:szCs w:val="21"/>
              </w:rPr>
              <w:t>静态精度：H≤1.5m, V≤3.0m (1σ, PDOP≤4)</w:t>
            </w:r>
          </w:p>
          <w:p w14:paraId="1A6BEFC7">
            <w:pPr>
              <w:spacing w:line="360" w:lineRule="auto"/>
              <w:jc w:val="left"/>
              <w:rPr>
                <w:rFonts w:hint="eastAsia"/>
                <w:szCs w:val="21"/>
              </w:rPr>
            </w:pPr>
            <w:r>
              <w:rPr>
                <w:rFonts w:hint="eastAsia"/>
                <w:szCs w:val="21"/>
              </w:rPr>
              <w:t>RTK精度：H：±(2.5+0.5×10-6×D)mm，V：±(5.0+0.5×10-6×D)mm</w:t>
            </w:r>
          </w:p>
          <w:p w14:paraId="39DA6F66">
            <w:pPr>
              <w:spacing w:line="360" w:lineRule="auto"/>
              <w:jc w:val="left"/>
              <w:rPr>
                <w:rFonts w:hint="eastAsia"/>
                <w:szCs w:val="21"/>
              </w:rPr>
            </w:pPr>
            <w:r>
              <w:rPr>
                <w:rFonts w:hint="eastAsia"/>
                <w:szCs w:val="21"/>
              </w:rPr>
              <w:t>BDS：B1，B2</w:t>
            </w:r>
          </w:p>
        </w:tc>
      </w:tr>
      <w:tr w14:paraId="64E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0D99B88">
            <w:pPr>
              <w:spacing w:line="360" w:lineRule="auto"/>
              <w:jc w:val="center"/>
              <w:rPr>
                <w:rFonts w:hint="eastAsia"/>
                <w:szCs w:val="21"/>
              </w:rPr>
            </w:pPr>
            <w:r>
              <w:rPr>
                <w:rFonts w:hint="eastAsia"/>
                <w:szCs w:val="21"/>
              </w:rPr>
              <w:t>11</w:t>
            </w:r>
          </w:p>
        </w:tc>
        <w:tc>
          <w:tcPr>
            <w:tcW w:w="1960" w:type="dxa"/>
            <w:vAlign w:val="center"/>
          </w:tcPr>
          <w:p w14:paraId="57307CAF">
            <w:pPr>
              <w:spacing w:line="360" w:lineRule="auto"/>
              <w:jc w:val="center"/>
              <w:rPr>
                <w:rFonts w:hint="eastAsia"/>
                <w:szCs w:val="21"/>
              </w:rPr>
            </w:pPr>
            <w:r>
              <w:rPr>
                <w:rFonts w:hint="eastAsia"/>
                <w:szCs w:val="21"/>
              </w:rPr>
              <w:t>位移计</w:t>
            </w:r>
          </w:p>
        </w:tc>
        <w:tc>
          <w:tcPr>
            <w:tcW w:w="4902" w:type="dxa"/>
            <w:vAlign w:val="center"/>
          </w:tcPr>
          <w:p w14:paraId="7A2C1BF7">
            <w:pPr>
              <w:spacing w:line="360" w:lineRule="auto"/>
              <w:jc w:val="left"/>
              <w:rPr>
                <w:rFonts w:hint="eastAsia"/>
                <w:szCs w:val="21"/>
              </w:rPr>
            </w:pPr>
            <w:r>
              <w:rPr>
                <w:rFonts w:hint="eastAsia"/>
                <w:szCs w:val="21"/>
              </w:rPr>
              <w:t>量程：300mm</w:t>
            </w:r>
          </w:p>
          <w:p w14:paraId="0939BD22">
            <w:pPr>
              <w:spacing w:line="360" w:lineRule="auto"/>
              <w:jc w:val="left"/>
              <w:rPr>
                <w:rFonts w:hint="eastAsia"/>
                <w:szCs w:val="21"/>
              </w:rPr>
            </w:pPr>
            <w:r>
              <w:rPr>
                <w:rFonts w:hint="eastAsia"/>
                <w:szCs w:val="21"/>
              </w:rPr>
              <w:t>分辨率：0.01%F.S</w:t>
            </w:r>
          </w:p>
          <w:p w14:paraId="07197222">
            <w:pPr>
              <w:spacing w:line="360" w:lineRule="auto"/>
              <w:jc w:val="left"/>
              <w:rPr>
                <w:rFonts w:hint="eastAsia"/>
                <w:szCs w:val="21"/>
              </w:rPr>
            </w:pPr>
            <w:r>
              <w:rPr>
                <w:rFonts w:hint="eastAsia"/>
                <w:szCs w:val="21"/>
              </w:rPr>
              <w:t>测量精度：0.1mm</w:t>
            </w:r>
          </w:p>
          <w:p w14:paraId="763C3F57">
            <w:pPr>
              <w:spacing w:line="360" w:lineRule="auto"/>
              <w:jc w:val="left"/>
              <w:rPr>
                <w:rFonts w:hint="eastAsia"/>
                <w:szCs w:val="21"/>
              </w:rPr>
            </w:pPr>
            <w:r>
              <w:rPr>
                <w:rFonts w:hint="eastAsia"/>
                <w:szCs w:val="21"/>
              </w:rPr>
              <w:t xml:space="preserve">重复性误差：≤0.5% </w:t>
            </w:r>
          </w:p>
          <w:p w14:paraId="0056E744">
            <w:pPr>
              <w:spacing w:line="360" w:lineRule="auto"/>
              <w:jc w:val="left"/>
              <w:rPr>
                <w:rFonts w:hint="eastAsia"/>
                <w:szCs w:val="21"/>
              </w:rPr>
            </w:pPr>
            <w:r>
              <w:rPr>
                <w:rFonts w:hint="eastAsia"/>
                <w:szCs w:val="21"/>
              </w:rPr>
              <w:t>中心波长：1528～1568nm</w:t>
            </w:r>
          </w:p>
          <w:p w14:paraId="20F2DC85">
            <w:pPr>
              <w:spacing w:line="360" w:lineRule="auto"/>
              <w:jc w:val="left"/>
              <w:rPr>
                <w:rFonts w:hint="eastAsia"/>
                <w:szCs w:val="21"/>
              </w:rPr>
            </w:pPr>
            <w:r>
              <w:rPr>
                <w:rFonts w:hint="eastAsia"/>
                <w:szCs w:val="21"/>
              </w:rPr>
              <w:t>反射率：≥90%</w:t>
            </w:r>
          </w:p>
          <w:p w14:paraId="2002925E">
            <w:pPr>
              <w:spacing w:line="360" w:lineRule="auto"/>
              <w:jc w:val="left"/>
              <w:rPr>
                <w:rFonts w:hint="eastAsia"/>
                <w:szCs w:val="21"/>
              </w:rPr>
            </w:pPr>
            <w:r>
              <w:rPr>
                <w:rFonts w:hint="eastAsia"/>
                <w:szCs w:val="21"/>
              </w:rPr>
              <w:t xml:space="preserve">连接方式：FC/APC </w:t>
            </w:r>
          </w:p>
          <w:p w14:paraId="1DB5DCEB">
            <w:pPr>
              <w:spacing w:line="360" w:lineRule="auto"/>
              <w:jc w:val="left"/>
              <w:rPr>
                <w:rFonts w:hint="eastAsia"/>
                <w:szCs w:val="21"/>
              </w:rPr>
            </w:pPr>
            <w:r>
              <w:rPr>
                <w:rFonts w:hint="eastAsia"/>
                <w:szCs w:val="21"/>
              </w:rPr>
              <w:t>计量校准：提供有效的第三方检测报告</w:t>
            </w:r>
          </w:p>
        </w:tc>
      </w:tr>
      <w:tr w14:paraId="6E62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4" w:type="dxa"/>
            <w:vAlign w:val="center"/>
          </w:tcPr>
          <w:p w14:paraId="55501FF1">
            <w:pPr>
              <w:spacing w:line="360" w:lineRule="auto"/>
              <w:jc w:val="center"/>
              <w:rPr>
                <w:rFonts w:hint="eastAsia"/>
                <w:szCs w:val="21"/>
              </w:rPr>
            </w:pPr>
            <w:r>
              <w:rPr>
                <w:rFonts w:hint="eastAsia"/>
                <w:szCs w:val="21"/>
              </w:rPr>
              <w:t>12</w:t>
            </w:r>
          </w:p>
        </w:tc>
        <w:tc>
          <w:tcPr>
            <w:tcW w:w="1960" w:type="dxa"/>
            <w:vAlign w:val="center"/>
          </w:tcPr>
          <w:p w14:paraId="7DE636DD">
            <w:pPr>
              <w:spacing w:line="360" w:lineRule="auto"/>
              <w:jc w:val="center"/>
              <w:rPr>
                <w:rFonts w:hint="eastAsia"/>
                <w:szCs w:val="21"/>
              </w:rPr>
            </w:pPr>
            <w:r>
              <w:rPr>
                <w:rFonts w:hint="eastAsia"/>
                <w:szCs w:val="21"/>
              </w:rPr>
              <w:t>数据集成与传输</w:t>
            </w:r>
          </w:p>
        </w:tc>
        <w:tc>
          <w:tcPr>
            <w:tcW w:w="4902" w:type="dxa"/>
            <w:vAlign w:val="center"/>
          </w:tcPr>
          <w:p w14:paraId="03D3C615">
            <w:pPr>
              <w:spacing w:line="360" w:lineRule="auto"/>
              <w:jc w:val="left"/>
              <w:rPr>
                <w:rFonts w:hint="eastAsia"/>
                <w:szCs w:val="21"/>
              </w:rPr>
            </w:pPr>
            <w:r>
              <w:rPr>
                <w:rFonts w:hint="eastAsia"/>
                <w:szCs w:val="21"/>
              </w:rPr>
              <w:t>满足系统数据集成与传输需求</w:t>
            </w:r>
          </w:p>
        </w:tc>
      </w:tr>
      <w:tr w14:paraId="5712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34" w:type="dxa"/>
            <w:vAlign w:val="center"/>
          </w:tcPr>
          <w:p w14:paraId="5EB6A5E4">
            <w:pPr>
              <w:spacing w:line="360" w:lineRule="auto"/>
              <w:jc w:val="center"/>
              <w:rPr>
                <w:rFonts w:hint="eastAsia"/>
                <w:szCs w:val="21"/>
              </w:rPr>
            </w:pPr>
            <w:r>
              <w:rPr>
                <w:rFonts w:hint="eastAsia"/>
                <w:szCs w:val="21"/>
              </w:rPr>
              <w:t>13</w:t>
            </w:r>
          </w:p>
        </w:tc>
        <w:tc>
          <w:tcPr>
            <w:tcW w:w="1960" w:type="dxa"/>
            <w:vAlign w:val="center"/>
          </w:tcPr>
          <w:p w14:paraId="2007160A">
            <w:pPr>
              <w:spacing w:line="360" w:lineRule="auto"/>
              <w:jc w:val="center"/>
              <w:rPr>
                <w:rFonts w:hint="eastAsia"/>
                <w:szCs w:val="21"/>
              </w:rPr>
            </w:pPr>
            <w:r>
              <w:rPr>
                <w:rFonts w:hint="eastAsia"/>
                <w:szCs w:val="21"/>
              </w:rPr>
              <w:t>平台展示</w:t>
            </w:r>
          </w:p>
        </w:tc>
        <w:tc>
          <w:tcPr>
            <w:tcW w:w="4902" w:type="dxa"/>
            <w:vAlign w:val="center"/>
          </w:tcPr>
          <w:p w14:paraId="4AE53AEC">
            <w:pPr>
              <w:spacing w:line="360" w:lineRule="auto"/>
              <w:jc w:val="left"/>
              <w:rPr>
                <w:rFonts w:hint="eastAsia"/>
                <w:szCs w:val="21"/>
              </w:rPr>
            </w:pPr>
            <w:r>
              <w:rPr>
                <w:rFonts w:hint="eastAsia"/>
                <w:szCs w:val="21"/>
              </w:rPr>
              <w:t>满足重大工程健康监测和诊断平台展示需求</w:t>
            </w:r>
          </w:p>
        </w:tc>
      </w:tr>
    </w:tbl>
    <w:p w14:paraId="76F5F788">
      <w:pPr>
        <w:spacing w:line="360" w:lineRule="auto"/>
        <w:ind w:firstLine="420" w:firstLineChars="200"/>
        <w:jc w:val="left"/>
        <w:rPr>
          <w:rFonts w:hint="eastAsia"/>
          <w:szCs w:val="21"/>
        </w:rPr>
        <w:sectPr>
          <w:footerReference r:id="rId15" w:type="first"/>
          <w:headerReference r:id="rId12" w:type="default"/>
          <w:footerReference r:id="rId13" w:type="default"/>
          <w:footerReference r:id="rId14" w:type="even"/>
          <w:pgSz w:w="11906" w:h="16838"/>
          <w:pgMar w:top="1304" w:right="1797" w:bottom="1304" w:left="1797" w:header="851" w:footer="754" w:gutter="0"/>
          <w:cols w:space="720" w:num="1"/>
          <w:docGrid w:type="lines" w:linePitch="312" w:charSpace="0"/>
        </w:sectPr>
      </w:pPr>
    </w:p>
    <w:p w14:paraId="55261BB5">
      <w:pPr>
        <w:spacing w:line="440" w:lineRule="exact"/>
        <w:ind w:firstLine="420" w:firstLineChars="200"/>
        <w:rPr>
          <w:rFonts w:hint="eastAsia"/>
          <w:szCs w:val="21"/>
        </w:rPr>
      </w:pPr>
    </w:p>
    <w:p w14:paraId="3201DFF9">
      <w:pPr>
        <w:pStyle w:val="2"/>
        <w:rPr>
          <w:rFonts w:hint="eastAsia" w:ascii="宋体" w:hAnsi="宋体"/>
          <w:szCs w:val="32"/>
        </w:rPr>
      </w:pPr>
      <w:bookmarkStart w:id="768" w:name="_Toc22102"/>
      <w:bookmarkStart w:id="769" w:name="_Toc25158"/>
      <w:bookmarkStart w:id="770" w:name="_Toc11301"/>
      <w:bookmarkStart w:id="771" w:name="_Toc20243"/>
      <w:bookmarkStart w:id="772" w:name="_Toc12623"/>
      <w:bookmarkStart w:id="773" w:name="_Toc23979"/>
      <w:r>
        <w:rPr>
          <w:rFonts w:hint="eastAsia" w:ascii="宋体" w:hAnsi="宋体"/>
          <w:szCs w:val="32"/>
        </w:rPr>
        <w:t>第七章 投标文件资格审查文件册通用格式</w:t>
      </w:r>
      <w:bookmarkEnd w:id="768"/>
      <w:bookmarkEnd w:id="769"/>
      <w:bookmarkEnd w:id="770"/>
    </w:p>
    <w:p w14:paraId="0CFA188B">
      <w:pPr>
        <w:spacing w:line="360" w:lineRule="auto"/>
        <w:jc w:val="right"/>
        <w:rPr>
          <w:rFonts w:hint="eastAsia"/>
          <w:sz w:val="32"/>
          <w:szCs w:val="32"/>
        </w:rPr>
      </w:pPr>
    </w:p>
    <w:p w14:paraId="718C521A">
      <w:pPr>
        <w:pStyle w:val="15"/>
        <w:spacing w:before="312" w:beforeLines="100" w:after="312" w:afterLines="100" w:line="360" w:lineRule="auto"/>
        <w:jc w:val="center"/>
        <w:outlineLvl w:val="1"/>
        <w:rPr>
          <w:rFonts w:hint="eastAsia" w:hAnsi="宋体" w:cs="宋体"/>
          <w:b/>
          <w:sz w:val="44"/>
          <w:szCs w:val="44"/>
        </w:rPr>
      </w:pPr>
      <w:r>
        <w:rPr>
          <w:rFonts w:hint="eastAsia" w:hAnsi="宋体" w:cs="宋体"/>
          <w:b/>
          <w:sz w:val="44"/>
          <w:szCs w:val="44"/>
          <w:u w:val="single"/>
        </w:rPr>
        <w:t xml:space="preserve">                    </w:t>
      </w:r>
      <w:bookmarkStart w:id="774" w:name="_Toc6729"/>
      <w:r>
        <w:rPr>
          <w:rFonts w:hint="eastAsia" w:hAnsi="宋体" w:cs="宋体"/>
          <w:b/>
          <w:sz w:val="44"/>
          <w:szCs w:val="44"/>
        </w:rPr>
        <w:t>项目</w:t>
      </w:r>
      <w:bookmarkEnd w:id="774"/>
    </w:p>
    <w:p w14:paraId="2F36A5D5">
      <w:pPr>
        <w:pStyle w:val="15"/>
        <w:spacing w:before="312" w:beforeLines="100" w:after="312" w:afterLines="100" w:line="360" w:lineRule="auto"/>
        <w:jc w:val="center"/>
        <w:rPr>
          <w:rFonts w:hint="eastAsia" w:hAnsi="宋体" w:cs="宋体"/>
          <w:b/>
          <w:bCs/>
          <w:sz w:val="32"/>
          <w:u w:val="single"/>
        </w:rPr>
      </w:pPr>
    </w:p>
    <w:p w14:paraId="5E84B5EB">
      <w:pPr>
        <w:pStyle w:val="15"/>
        <w:spacing w:before="312" w:beforeLines="100" w:after="312" w:afterLines="100" w:line="360" w:lineRule="auto"/>
        <w:jc w:val="center"/>
        <w:rPr>
          <w:rFonts w:hint="eastAsia" w:hAnsi="宋体" w:cs="宋体"/>
          <w:b/>
          <w:bCs/>
          <w:sz w:val="56"/>
          <w:szCs w:val="56"/>
        </w:rPr>
      </w:pPr>
      <w:r>
        <w:rPr>
          <w:rFonts w:hint="eastAsia" w:hAnsi="宋体" w:cs="宋体"/>
          <w:b/>
          <w:bCs/>
          <w:sz w:val="56"/>
          <w:szCs w:val="56"/>
        </w:rPr>
        <w:t>投标文件</w:t>
      </w:r>
    </w:p>
    <w:p w14:paraId="2443D489">
      <w:pPr>
        <w:pStyle w:val="15"/>
        <w:spacing w:before="312" w:beforeLines="100" w:after="312" w:afterLines="100" w:line="360" w:lineRule="auto"/>
        <w:jc w:val="center"/>
        <w:rPr>
          <w:rFonts w:hint="eastAsia" w:hAnsi="宋体" w:cs="宋体"/>
          <w:b/>
          <w:bCs/>
          <w:sz w:val="56"/>
          <w:szCs w:val="56"/>
        </w:rPr>
      </w:pPr>
      <w:r>
        <w:rPr>
          <w:rFonts w:hint="eastAsia" w:hAnsi="宋体" w:cs="宋体"/>
          <w:b/>
          <w:bCs/>
          <w:sz w:val="56"/>
          <w:szCs w:val="56"/>
        </w:rPr>
        <w:t>资格审查文件册</w:t>
      </w:r>
    </w:p>
    <w:p w14:paraId="593D4F47">
      <w:pPr>
        <w:pStyle w:val="15"/>
        <w:spacing w:before="312" w:beforeLines="100" w:after="312" w:afterLines="100" w:line="360" w:lineRule="auto"/>
        <w:jc w:val="center"/>
        <w:rPr>
          <w:rFonts w:hint="eastAsia" w:hAnsi="宋体" w:cs="宋体"/>
          <w:b/>
          <w:bCs/>
          <w:sz w:val="32"/>
        </w:rPr>
      </w:pPr>
      <w:r>
        <w:rPr>
          <w:rFonts w:hint="eastAsia" w:hAnsi="宋体" w:cs="宋体"/>
          <w:b/>
          <w:bCs/>
          <w:sz w:val="28"/>
          <w:szCs w:val="28"/>
        </w:rPr>
        <w:t>项目编号：</w:t>
      </w:r>
    </w:p>
    <w:p w14:paraId="201749E3">
      <w:pPr>
        <w:pStyle w:val="15"/>
        <w:spacing w:before="312" w:beforeLines="100" w:after="312" w:afterLines="100" w:line="360" w:lineRule="auto"/>
        <w:jc w:val="center"/>
        <w:rPr>
          <w:rFonts w:hint="eastAsia" w:hAnsi="宋体" w:cs="宋体"/>
          <w:b/>
          <w:bCs/>
          <w:sz w:val="32"/>
        </w:rPr>
      </w:pPr>
      <w:r>
        <w:rPr>
          <w:rFonts w:hint="eastAsia" w:hAnsi="宋体" w:cs="宋体"/>
          <w:b/>
          <w:bCs/>
          <w:sz w:val="32"/>
        </w:rPr>
        <w:t>（封面）</w:t>
      </w:r>
    </w:p>
    <w:p w14:paraId="387A3CF1">
      <w:pPr>
        <w:pStyle w:val="15"/>
        <w:spacing w:before="312" w:beforeLines="100" w:after="312" w:afterLines="100" w:line="360" w:lineRule="auto"/>
        <w:rPr>
          <w:rFonts w:hint="eastAsia" w:hAnsi="宋体" w:cs="宋体"/>
          <w:b/>
          <w:bCs/>
          <w:sz w:val="32"/>
          <w:u w:val="single"/>
        </w:rPr>
      </w:pPr>
    </w:p>
    <w:p w14:paraId="4480BB39">
      <w:pPr>
        <w:pStyle w:val="15"/>
        <w:spacing w:before="312" w:beforeLines="100" w:after="312" w:afterLines="100" w:line="360" w:lineRule="auto"/>
        <w:rPr>
          <w:rFonts w:hint="eastAsia" w:hAnsi="宋体" w:cs="宋体"/>
          <w:b/>
          <w:bCs/>
          <w:sz w:val="32"/>
          <w:u w:val="single"/>
        </w:rPr>
      </w:pPr>
    </w:p>
    <w:p w14:paraId="199B5319">
      <w:pPr>
        <w:pStyle w:val="15"/>
        <w:spacing w:before="312" w:beforeLines="100" w:after="312" w:afterLines="100" w:line="360" w:lineRule="auto"/>
        <w:jc w:val="center"/>
        <w:rPr>
          <w:rFonts w:hint="eastAsia" w:hAnsi="宋体" w:cs="宋体"/>
          <w:b/>
          <w:bCs/>
          <w:sz w:val="32"/>
          <w:u w:val="single"/>
        </w:rPr>
      </w:pPr>
      <w:r>
        <w:rPr>
          <w:rFonts w:hint="eastAsia" w:hAnsi="宋体" w:cs="宋体"/>
          <w:b/>
          <w:bCs/>
          <w:sz w:val="32"/>
        </w:rPr>
        <w:t>投  标  人：</w:t>
      </w:r>
      <w:r>
        <w:rPr>
          <w:rFonts w:hint="eastAsia" w:hAnsi="宋体" w:cs="宋体"/>
          <w:b/>
          <w:bCs/>
          <w:sz w:val="32"/>
          <w:u w:val="single"/>
        </w:rPr>
        <w:t xml:space="preserve">                      </w:t>
      </w:r>
      <w:r>
        <w:rPr>
          <w:rFonts w:hint="eastAsia" w:hAnsi="宋体" w:cs="宋体"/>
          <w:b/>
          <w:bCs/>
          <w:sz w:val="32"/>
        </w:rPr>
        <w:t>（盖章）</w:t>
      </w:r>
    </w:p>
    <w:p w14:paraId="76CFB44E">
      <w:pPr>
        <w:pStyle w:val="15"/>
        <w:spacing w:before="312" w:beforeLines="100" w:after="312" w:afterLines="100" w:line="360" w:lineRule="auto"/>
        <w:ind w:firstLine="596" w:firstLineChars="198"/>
        <w:rPr>
          <w:rFonts w:hint="eastAsia" w:hAnsi="宋体" w:cs="宋体"/>
          <w:b/>
          <w:bCs/>
          <w:sz w:val="30"/>
          <w:szCs w:val="30"/>
        </w:rPr>
      </w:pPr>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p>
    <w:p w14:paraId="19450674">
      <w:pPr>
        <w:pStyle w:val="13"/>
        <w:spacing w:line="360" w:lineRule="auto"/>
        <w:ind w:left="0" w:leftChars="0" w:firstLine="0" w:firstLineChars="0"/>
        <w:jc w:val="center"/>
        <w:rPr>
          <w:rFonts w:hint="eastAsia"/>
          <w:b/>
          <w:bCs/>
          <w:sz w:val="30"/>
          <w:szCs w:val="30"/>
        </w:rPr>
      </w:pPr>
      <w:r>
        <w:rPr>
          <w:rFonts w:hint="eastAsia"/>
          <w:b/>
          <w:bCs/>
          <w:sz w:val="30"/>
          <w:szCs w:val="30"/>
        </w:rPr>
        <w:t>日      期：       年    月    日</w:t>
      </w:r>
    </w:p>
    <w:p w14:paraId="08155C32">
      <w:pPr>
        <w:spacing w:line="360" w:lineRule="auto"/>
        <w:jc w:val="center"/>
        <w:rPr>
          <w:rFonts w:hint="eastAsia"/>
          <w:b/>
          <w:sz w:val="28"/>
          <w:szCs w:val="28"/>
        </w:rPr>
      </w:pPr>
      <w:r>
        <w:rPr>
          <w:rFonts w:hint="eastAsia"/>
          <w:b/>
          <w:sz w:val="28"/>
          <w:szCs w:val="28"/>
        </w:rPr>
        <w:br w:type="page"/>
      </w:r>
      <w:r>
        <w:rPr>
          <w:rFonts w:hint="eastAsia"/>
          <w:b/>
          <w:sz w:val="28"/>
          <w:szCs w:val="28"/>
        </w:rPr>
        <w:t>投标文件资格审查文件册目录</w:t>
      </w:r>
    </w:p>
    <w:p w14:paraId="367EABA7">
      <w:pPr>
        <w:tabs>
          <w:tab w:val="left" w:pos="1080"/>
        </w:tabs>
        <w:spacing w:line="360" w:lineRule="auto"/>
        <w:ind w:left="210"/>
        <w:rPr>
          <w:rFonts w:hint="eastAsia"/>
          <w:szCs w:val="21"/>
        </w:rPr>
      </w:pPr>
    </w:p>
    <w:p w14:paraId="348BF611">
      <w:pPr>
        <w:tabs>
          <w:tab w:val="left" w:pos="1080"/>
        </w:tabs>
        <w:spacing w:line="360" w:lineRule="auto"/>
        <w:ind w:left="210"/>
        <w:rPr>
          <w:rFonts w:hint="eastAsia"/>
          <w:szCs w:val="21"/>
        </w:rPr>
      </w:pPr>
      <w:r>
        <w:rPr>
          <w:rFonts w:hint="eastAsia"/>
          <w:szCs w:val="21"/>
        </w:rPr>
        <w:t>一、投标人资格声明函</w:t>
      </w:r>
    </w:p>
    <w:p w14:paraId="786BC031">
      <w:pPr>
        <w:tabs>
          <w:tab w:val="left" w:pos="1080"/>
        </w:tabs>
        <w:spacing w:line="360" w:lineRule="auto"/>
        <w:ind w:left="210"/>
        <w:rPr>
          <w:rFonts w:hint="eastAsia"/>
          <w:szCs w:val="21"/>
        </w:rPr>
      </w:pPr>
      <w:r>
        <w:rPr>
          <w:rFonts w:hint="eastAsia"/>
          <w:szCs w:val="21"/>
        </w:rPr>
        <w:t>二、投标人资格证明文件</w:t>
      </w:r>
    </w:p>
    <w:p w14:paraId="58B905B8">
      <w:pPr>
        <w:tabs>
          <w:tab w:val="left" w:pos="1080"/>
        </w:tabs>
        <w:spacing w:line="360" w:lineRule="auto"/>
        <w:rPr>
          <w:rFonts w:hint="eastAsia"/>
          <w:szCs w:val="21"/>
        </w:rPr>
      </w:pPr>
    </w:p>
    <w:p w14:paraId="4D1D4FAA">
      <w:pPr>
        <w:tabs>
          <w:tab w:val="left" w:pos="1080"/>
        </w:tabs>
        <w:spacing w:line="360" w:lineRule="auto"/>
        <w:rPr>
          <w:rFonts w:hint="eastAsia"/>
          <w:szCs w:val="21"/>
        </w:rPr>
      </w:pPr>
    </w:p>
    <w:p w14:paraId="78861534">
      <w:pPr>
        <w:tabs>
          <w:tab w:val="left" w:pos="1080"/>
        </w:tabs>
        <w:spacing w:line="360" w:lineRule="auto"/>
        <w:rPr>
          <w:rFonts w:hint="eastAsia"/>
          <w:szCs w:val="21"/>
        </w:rPr>
      </w:pPr>
    </w:p>
    <w:p w14:paraId="4AE87409">
      <w:pPr>
        <w:spacing w:line="360" w:lineRule="auto"/>
        <w:rPr>
          <w:rFonts w:hint="eastAsia"/>
        </w:rPr>
      </w:pPr>
    </w:p>
    <w:p w14:paraId="52B858C2">
      <w:pPr>
        <w:pStyle w:val="3"/>
        <w:numPr>
          <w:ilvl w:val="0"/>
          <w:numId w:val="25"/>
        </w:numPr>
        <w:tabs>
          <w:tab w:val="left" w:pos="840"/>
        </w:tabs>
        <w:jc w:val="center"/>
        <w:rPr>
          <w:rFonts w:hint="eastAsia" w:ascii="宋体" w:hAnsi="宋体"/>
          <w:szCs w:val="24"/>
        </w:rPr>
      </w:pPr>
      <w:bookmarkStart w:id="775" w:name="_Toc5124"/>
      <w:r>
        <w:rPr>
          <w:rFonts w:hint="eastAsia" w:ascii="宋体" w:hAnsi="宋体"/>
          <w:szCs w:val="24"/>
        </w:rPr>
        <w:br w:type="page"/>
      </w:r>
      <w:bookmarkStart w:id="776" w:name="_Toc20913"/>
      <w:bookmarkStart w:id="777" w:name="_Toc29145"/>
      <w:r>
        <w:rPr>
          <w:rFonts w:hint="eastAsia" w:ascii="宋体" w:hAnsi="宋体"/>
          <w:szCs w:val="24"/>
        </w:rPr>
        <w:t>投标人资格声明函</w:t>
      </w:r>
      <w:bookmarkEnd w:id="775"/>
      <w:bookmarkEnd w:id="776"/>
      <w:bookmarkEnd w:id="777"/>
    </w:p>
    <w:p w14:paraId="0531DC01">
      <w:pPr>
        <w:spacing w:line="360" w:lineRule="auto"/>
        <w:rPr>
          <w:rFonts w:hint="eastAsia"/>
          <w:bCs/>
          <w:szCs w:val="21"/>
        </w:rPr>
      </w:pPr>
    </w:p>
    <w:p w14:paraId="64D1B773">
      <w:pPr>
        <w:spacing w:line="360" w:lineRule="auto"/>
        <w:rPr>
          <w:rFonts w:hint="eastAsia"/>
        </w:rPr>
      </w:pPr>
      <w:r>
        <w:rPr>
          <w:rFonts w:hint="eastAsia"/>
          <w:u w:val="single"/>
        </w:rPr>
        <w:t>致（采购人或采购代理机构名称）</w:t>
      </w:r>
      <w:r>
        <w:rPr>
          <w:rFonts w:hint="eastAsia"/>
        </w:rPr>
        <w:t>：</w:t>
      </w:r>
    </w:p>
    <w:p w14:paraId="5C77B39B">
      <w:pPr>
        <w:spacing w:line="360" w:lineRule="auto"/>
        <w:ind w:firstLine="450"/>
        <w:rPr>
          <w:rFonts w:hint="eastAsia"/>
          <w:szCs w:val="21"/>
        </w:rPr>
      </w:pPr>
      <w:r>
        <w:rPr>
          <w:rFonts w:hint="eastAsia"/>
          <w:szCs w:val="21"/>
        </w:rPr>
        <w:t>关于贵方</w:t>
      </w:r>
      <w:r>
        <w:rPr>
          <w:rFonts w:hint="eastAsia"/>
          <w:szCs w:val="21"/>
          <w:u w:val="single"/>
        </w:rPr>
        <w:t xml:space="preserve">       项目名称、编号              </w:t>
      </w:r>
      <w:r>
        <w:rPr>
          <w:rFonts w:hint="eastAsia"/>
          <w:szCs w:val="21"/>
        </w:rPr>
        <w:t>的投标邀请，本公司愿意参加投标，提供招标内容中规定的货物及其伴随的服务，并声明提交的下列文件是准确的和真实的。</w:t>
      </w:r>
    </w:p>
    <w:p w14:paraId="773232AC">
      <w:pPr>
        <w:tabs>
          <w:tab w:val="left" w:pos="1080"/>
        </w:tabs>
        <w:spacing w:line="360" w:lineRule="auto"/>
        <w:ind w:left="210"/>
        <w:rPr>
          <w:rFonts w:hint="eastAsia"/>
          <w:szCs w:val="21"/>
        </w:rPr>
      </w:pPr>
      <w:r>
        <w:rPr>
          <w:rFonts w:hint="eastAsia"/>
          <w:szCs w:val="21"/>
        </w:rPr>
        <w:t>1、投标人资格声明函</w:t>
      </w:r>
    </w:p>
    <w:p w14:paraId="5BCEE9DE">
      <w:pPr>
        <w:tabs>
          <w:tab w:val="left" w:pos="1080"/>
        </w:tabs>
        <w:spacing w:line="360" w:lineRule="auto"/>
        <w:ind w:left="210"/>
        <w:rPr>
          <w:rFonts w:hint="eastAsia"/>
          <w:szCs w:val="21"/>
        </w:rPr>
      </w:pPr>
      <w:r>
        <w:rPr>
          <w:rFonts w:hint="eastAsia"/>
          <w:szCs w:val="21"/>
        </w:rPr>
        <w:t>2、投标人资格证明文件</w:t>
      </w:r>
    </w:p>
    <w:p w14:paraId="2BEECD61">
      <w:pPr>
        <w:tabs>
          <w:tab w:val="left" w:pos="1080"/>
        </w:tabs>
        <w:spacing w:line="360" w:lineRule="auto"/>
        <w:ind w:left="210"/>
        <w:rPr>
          <w:rFonts w:hint="eastAsia"/>
          <w:szCs w:val="21"/>
        </w:rPr>
      </w:pPr>
      <w:r>
        <w:rPr>
          <w:rFonts w:hint="eastAsia"/>
          <w:szCs w:val="21"/>
        </w:rPr>
        <w:t>3、中小企业声明函（如有）</w:t>
      </w:r>
    </w:p>
    <w:p w14:paraId="0349D304">
      <w:pPr>
        <w:tabs>
          <w:tab w:val="left" w:pos="1080"/>
        </w:tabs>
        <w:spacing w:line="360" w:lineRule="auto"/>
        <w:ind w:left="210"/>
        <w:rPr>
          <w:rFonts w:hint="eastAsia"/>
          <w:szCs w:val="21"/>
        </w:rPr>
      </w:pPr>
      <w:r>
        <w:rPr>
          <w:rFonts w:hint="eastAsia"/>
          <w:szCs w:val="21"/>
        </w:rPr>
        <w:t>4、残疾人福利性单位声明函（如有）</w:t>
      </w:r>
    </w:p>
    <w:p w14:paraId="4230EC96">
      <w:pPr>
        <w:spacing w:line="360" w:lineRule="auto"/>
        <w:ind w:firstLine="210" w:firstLineChars="100"/>
        <w:rPr>
          <w:rFonts w:hint="eastAsia"/>
          <w:szCs w:val="21"/>
        </w:rPr>
      </w:pPr>
      <w:r>
        <w:rPr>
          <w:rFonts w:hint="eastAsia"/>
          <w:szCs w:val="21"/>
        </w:rPr>
        <w:t>5</w:t>
      </w:r>
      <w:r>
        <w:rPr>
          <w:rFonts w:hint="eastAsia"/>
          <w:szCs w:val="21"/>
          <w:lang w:val="en-GB"/>
        </w:rPr>
        <w:t>、监狱企业证明材料</w:t>
      </w:r>
      <w:r>
        <w:rPr>
          <w:rFonts w:hint="eastAsia"/>
          <w:szCs w:val="21"/>
        </w:rPr>
        <w:t>（如有）</w:t>
      </w:r>
    </w:p>
    <w:p w14:paraId="69F10FCF">
      <w:pPr>
        <w:spacing w:line="360" w:lineRule="auto"/>
        <w:rPr>
          <w:rFonts w:hint="eastAsia"/>
          <w:szCs w:val="21"/>
        </w:rPr>
      </w:pPr>
      <w:r>
        <w:rPr>
          <w:rFonts w:hint="eastAsia"/>
          <w:szCs w:val="21"/>
        </w:rPr>
        <w:t>我方在此声明：</w:t>
      </w:r>
    </w:p>
    <w:p w14:paraId="5FF85675">
      <w:pPr>
        <w:spacing w:line="360" w:lineRule="auto"/>
        <w:ind w:firstLine="420" w:firstLineChars="200"/>
        <w:rPr>
          <w:rFonts w:hint="eastAsia"/>
          <w:szCs w:val="21"/>
        </w:rPr>
      </w:pPr>
      <w:r>
        <w:rPr>
          <w:rFonts w:hint="eastAsia"/>
          <w:szCs w:val="21"/>
        </w:rPr>
        <w:t>（1）我方具备并满足《中华人民共和国政府采购法》第二十二条及实施条例第十七条所规定的投标人的条件；</w:t>
      </w:r>
    </w:p>
    <w:p w14:paraId="5519B3AC">
      <w:pPr>
        <w:spacing w:line="360" w:lineRule="auto"/>
        <w:ind w:firstLine="420" w:firstLineChars="200"/>
        <w:rPr>
          <w:rFonts w:hint="eastAsia"/>
          <w:szCs w:val="21"/>
        </w:rPr>
      </w:pPr>
      <w:r>
        <w:rPr>
          <w:rFonts w:hint="eastAsia"/>
          <w:szCs w:val="21"/>
        </w:rPr>
        <w:t>（2）我方未被列入失信被执行人、重大税收违法失信主体、政府采购严重违法失信行为记录名单及其他不符合《中华人民共和国政府采购法》第二十二条规定条件的投标人。</w:t>
      </w:r>
    </w:p>
    <w:p w14:paraId="560EC046">
      <w:pPr>
        <w:spacing w:line="360" w:lineRule="auto"/>
        <w:rPr>
          <w:rFonts w:hint="eastAsia"/>
          <w:szCs w:val="21"/>
        </w:rPr>
      </w:pPr>
    </w:p>
    <w:p w14:paraId="0EF321C3">
      <w:pPr>
        <w:spacing w:line="360" w:lineRule="auto"/>
        <w:rPr>
          <w:rFonts w:hint="eastAsia"/>
          <w:szCs w:val="21"/>
        </w:rPr>
      </w:pPr>
    </w:p>
    <w:p w14:paraId="2062F1A3">
      <w:pPr>
        <w:spacing w:line="360" w:lineRule="auto"/>
        <w:rPr>
          <w:rFonts w:hint="eastAsia"/>
          <w:szCs w:val="21"/>
        </w:rPr>
      </w:pPr>
    </w:p>
    <w:p w14:paraId="0EDCABBF">
      <w:pPr>
        <w:spacing w:line="360" w:lineRule="auto"/>
        <w:ind w:firstLine="2940" w:firstLineChars="1400"/>
        <w:rPr>
          <w:rFonts w:hint="eastAsia"/>
          <w:szCs w:val="21"/>
        </w:rPr>
      </w:pPr>
      <w:r>
        <w:rPr>
          <w:rFonts w:hint="eastAsia"/>
          <w:szCs w:val="21"/>
        </w:rPr>
        <w:t>投标人：</w:t>
      </w:r>
      <w:r>
        <w:rPr>
          <w:rFonts w:hint="eastAsia"/>
          <w:szCs w:val="21"/>
          <w:u w:val="single"/>
        </w:rPr>
        <w:t xml:space="preserve">                               </w:t>
      </w:r>
      <w:r>
        <w:rPr>
          <w:rFonts w:hint="eastAsia"/>
          <w:szCs w:val="21"/>
        </w:rPr>
        <w:t>（盖章）</w:t>
      </w:r>
    </w:p>
    <w:p w14:paraId="42B57456">
      <w:pPr>
        <w:spacing w:line="360" w:lineRule="auto"/>
        <w:ind w:firstLine="2940" w:firstLineChars="1400"/>
        <w:rPr>
          <w:rFonts w:hint="eastAsia"/>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14:paraId="463CD8B0">
      <w:pPr>
        <w:tabs>
          <w:tab w:val="left" w:pos="5380"/>
          <w:tab w:val="left" w:pos="6520"/>
          <w:tab w:val="left" w:pos="7680"/>
        </w:tabs>
        <w:autoSpaceDE w:val="0"/>
        <w:autoSpaceDN w:val="0"/>
        <w:adjustRightInd w:val="0"/>
        <w:spacing w:line="360" w:lineRule="auto"/>
        <w:ind w:right="-20" w:firstLine="3780" w:firstLineChars="18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2751C2C9">
      <w:pPr>
        <w:spacing w:line="360" w:lineRule="auto"/>
        <w:rPr>
          <w:rFonts w:hint="eastAsia"/>
          <w:szCs w:val="21"/>
        </w:rPr>
      </w:pPr>
    </w:p>
    <w:p w14:paraId="06AA739D">
      <w:pPr>
        <w:pStyle w:val="7"/>
        <w:spacing w:line="360" w:lineRule="auto"/>
        <w:rPr>
          <w:rFonts w:hint="eastAsia"/>
          <w:sz w:val="24"/>
        </w:rPr>
      </w:pPr>
    </w:p>
    <w:p w14:paraId="5421F24D">
      <w:pPr>
        <w:pStyle w:val="7"/>
        <w:spacing w:line="360" w:lineRule="auto"/>
        <w:rPr>
          <w:rFonts w:hint="eastAsia"/>
          <w:sz w:val="24"/>
        </w:rPr>
      </w:pPr>
    </w:p>
    <w:p w14:paraId="35594A84">
      <w:pPr>
        <w:spacing w:line="360" w:lineRule="auto"/>
        <w:rPr>
          <w:rFonts w:hint="eastAsia"/>
        </w:rPr>
      </w:pPr>
    </w:p>
    <w:p w14:paraId="3D8C7BED">
      <w:pPr>
        <w:numPr>
          <w:ilvl w:val="0"/>
          <w:numId w:val="26"/>
        </w:numPr>
        <w:spacing w:line="360" w:lineRule="auto"/>
        <w:jc w:val="center"/>
        <w:outlineLvl w:val="1"/>
        <w:rPr>
          <w:rFonts w:hint="eastAsia"/>
          <w:b/>
          <w:sz w:val="28"/>
          <w:szCs w:val="28"/>
        </w:rPr>
      </w:pPr>
      <w:bookmarkStart w:id="778" w:name="_Toc17556"/>
      <w:r>
        <w:rPr>
          <w:rFonts w:hint="eastAsia"/>
          <w:sz w:val="24"/>
        </w:rPr>
        <w:br w:type="page"/>
      </w:r>
      <w:bookmarkEnd w:id="778"/>
      <w:bookmarkStart w:id="779" w:name="_Toc30926"/>
      <w:r>
        <w:rPr>
          <w:rFonts w:hint="eastAsia"/>
          <w:b/>
          <w:sz w:val="28"/>
          <w:szCs w:val="28"/>
        </w:rPr>
        <w:t>投标人资格证明文件</w:t>
      </w:r>
      <w:bookmarkEnd w:id="779"/>
    </w:p>
    <w:p w14:paraId="517B01FF">
      <w:pPr>
        <w:numPr>
          <w:ilvl w:val="255"/>
          <w:numId w:val="0"/>
        </w:numPr>
        <w:spacing w:line="360" w:lineRule="auto"/>
        <w:jc w:val="center"/>
        <w:rPr>
          <w:rFonts w:hint="eastAsia"/>
          <w:b/>
          <w:sz w:val="28"/>
          <w:szCs w:val="28"/>
        </w:rPr>
      </w:pPr>
      <w:r>
        <w:rPr>
          <w:rFonts w:hint="eastAsia"/>
          <w:b/>
          <w:sz w:val="28"/>
          <w:szCs w:val="28"/>
        </w:rPr>
        <w:t>（如是联合体投标的。联合体所有成员均应满足该条件）</w:t>
      </w:r>
    </w:p>
    <w:p w14:paraId="770877BD">
      <w:pPr>
        <w:spacing w:line="360" w:lineRule="auto"/>
        <w:rPr>
          <w:rFonts w:hint="eastAsia"/>
          <w:szCs w:val="21"/>
        </w:rPr>
      </w:pPr>
      <w:r>
        <w:rPr>
          <w:rFonts w:hint="eastAsia"/>
          <w:szCs w:val="21"/>
        </w:rPr>
        <w:t>1. 符合《中华人民共和国政府采购法》第二十二条，并提供下列材料：</w:t>
      </w:r>
    </w:p>
    <w:p w14:paraId="1AE68147">
      <w:pPr>
        <w:widowControl/>
        <w:spacing w:line="360" w:lineRule="auto"/>
        <w:jc w:val="left"/>
        <w:rPr>
          <w:rFonts w:hint="eastAsia"/>
          <w:kern w:val="0"/>
          <w:szCs w:val="21"/>
        </w:rPr>
      </w:pPr>
      <w:r>
        <w:rPr>
          <w:rFonts w:hint="eastAsia"/>
          <w:szCs w:val="21"/>
        </w:rPr>
        <w:t>1.1</w:t>
      </w:r>
      <w:r>
        <w:rPr>
          <w:rFonts w:hint="eastAsia"/>
          <w:kern w:val="0"/>
          <w:szCs w:val="21"/>
        </w:rPr>
        <w:t>具有独立承担民事责任的能力的证明材料：</w:t>
      </w:r>
    </w:p>
    <w:p w14:paraId="17FA3EC3">
      <w:pPr>
        <w:pStyle w:val="22"/>
        <w:spacing w:after="0" w:line="360" w:lineRule="auto"/>
        <w:ind w:left="0" w:leftChars="0" w:firstLine="0" w:firstLineChars="0"/>
        <w:rPr>
          <w:rFonts w:hint="eastAsia"/>
          <w:szCs w:val="21"/>
        </w:rPr>
      </w:pPr>
      <w:r>
        <w:rPr>
          <w:rFonts w:hint="eastAsia"/>
          <w:szCs w:val="21"/>
        </w:rPr>
        <w:t>投标人为企业（包括合伙企业）的，应提供有效的“营业执照”；</w:t>
      </w:r>
    </w:p>
    <w:p w14:paraId="76467AA1">
      <w:pPr>
        <w:pStyle w:val="22"/>
        <w:spacing w:after="0" w:line="360" w:lineRule="auto"/>
        <w:ind w:left="0" w:leftChars="0" w:firstLine="0" w:firstLineChars="0"/>
        <w:rPr>
          <w:rFonts w:hint="eastAsia"/>
          <w:szCs w:val="21"/>
        </w:rPr>
      </w:pPr>
      <w:r>
        <w:rPr>
          <w:rFonts w:hint="eastAsia"/>
          <w:szCs w:val="21"/>
        </w:rPr>
        <w:t>投标人为事业单位的，应提供有效的“事业单位法人证书”；</w:t>
      </w:r>
    </w:p>
    <w:p w14:paraId="08DB70BF">
      <w:pPr>
        <w:pStyle w:val="22"/>
        <w:spacing w:after="0" w:line="360" w:lineRule="auto"/>
        <w:ind w:left="0" w:leftChars="0" w:firstLine="0" w:firstLineChars="0"/>
        <w:rPr>
          <w:rFonts w:hint="eastAsia"/>
          <w:szCs w:val="21"/>
        </w:rPr>
      </w:pPr>
      <w:r>
        <w:rPr>
          <w:rFonts w:hint="eastAsia"/>
          <w:szCs w:val="21"/>
        </w:rPr>
        <w:t>投标人是非企业机构的，应提供有效的“执业许可证”“登记证书”等证明文件；</w:t>
      </w:r>
    </w:p>
    <w:p w14:paraId="65810568">
      <w:pPr>
        <w:pStyle w:val="22"/>
        <w:spacing w:after="0" w:line="360" w:lineRule="auto"/>
        <w:ind w:left="0" w:leftChars="0" w:firstLine="0" w:firstLineChars="0"/>
        <w:rPr>
          <w:rFonts w:hint="eastAsia"/>
          <w:szCs w:val="21"/>
        </w:rPr>
      </w:pPr>
      <w:r>
        <w:rPr>
          <w:rFonts w:hint="eastAsia"/>
          <w:szCs w:val="21"/>
        </w:rPr>
        <w:t>投标人是个体工商户的，应提供有效的“个体工商户营业执照”；</w:t>
      </w:r>
    </w:p>
    <w:p w14:paraId="21B96590">
      <w:pPr>
        <w:pStyle w:val="22"/>
        <w:spacing w:after="0" w:line="360" w:lineRule="auto"/>
        <w:ind w:left="0" w:leftChars="0" w:firstLine="0" w:firstLineChars="0"/>
        <w:rPr>
          <w:rFonts w:hint="eastAsia"/>
          <w:szCs w:val="21"/>
        </w:rPr>
      </w:pPr>
      <w:r>
        <w:rPr>
          <w:rFonts w:hint="eastAsia"/>
          <w:szCs w:val="21"/>
        </w:rPr>
        <w:t>投标人是自然人的，应提供有效的自然人身份证明。</w:t>
      </w:r>
    </w:p>
    <w:p w14:paraId="607A05AD">
      <w:pPr>
        <w:spacing w:line="360" w:lineRule="auto"/>
        <w:rPr>
          <w:rFonts w:hint="eastAsia"/>
        </w:rPr>
      </w:pPr>
      <w:r>
        <w:rPr>
          <w:rFonts w:hint="eastAsia"/>
        </w:rPr>
        <w:t xml:space="preserve">1.2 </w:t>
      </w:r>
      <w:r>
        <w:rPr>
          <w:rFonts w:hint="eastAsia"/>
          <w:szCs w:val="21"/>
        </w:rPr>
        <w:t>投标人</w:t>
      </w:r>
      <w:r>
        <w:rPr>
          <w:rFonts w:hint="eastAsia"/>
        </w:rPr>
        <w:t>是企业法人的，应提供202</w:t>
      </w:r>
      <w:r>
        <w:rPr>
          <w:rFonts w:hint="eastAsia"/>
          <w:kern w:val="0"/>
          <w:szCs w:val="21"/>
        </w:rPr>
        <w:t>4</w:t>
      </w:r>
      <w:r>
        <w:rPr>
          <w:rFonts w:hint="eastAsia"/>
        </w:rPr>
        <w:t>年度经审计的财务报告（新成立企业从成立之日起计算），包括“三表一注”，即资产负债表、利润表（损益表）、现金流量表及其附注或基本开户银行出具的资信证明。部分其他组织和自然人，没有经审计的财务报告，可以提供银行出具的资信证明。</w:t>
      </w:r>
      <w:r>
        <w:rPr>
          <w:rFonts w:hint="eastAsia"/>
          <w:szCs w:val="21"/>
        </w:rPr>
        <w:t>投标人</w:t>
      </w:r>
      <w:r>
        <w:rPr>
          <w:rFonts w:hint="eastAsia"/>
          <w:kern w:val="0"/>
        </w:rPr>
        <w:t>为事业单位的，至少应提供</w:t>
      </w:r>
      <w:r>
        <w:rPr>
          <w:rFonts w:hint="eastAsia"/>
        </w:rPr>
        <w:t>202</w:t>
      </w:r>
      <w:r>
        <w:rPr>
          <w:rFonts w:hint="eastAsia"/>
          <w:kern w:val="0"/>
          <w:szCs w:val="21"/>
        </w:rPr>
        <w:t>4</w:t>
      </w:r>
      <w:r>
        <w:rPr>
          <w:rFonts w:hint="eastAsia"/>
        </w:rPr>
        <w:t>年度</w:t>
      </w:r>
      <w:r>
        <w:rPr>
          <w:rFonts w:hint="eastAsia"/>
          <w:kern w:val="0"/>
        </w:rPr>
        <w:t>的资产负债表</w:t>
      </w:r>
      <w:r>
        <w:rPr>
          <w:rFonts w:hint="eastAsia"/>
        </w:rPr>
        <w:t>。</w:t>
      </w:r>
    </w:p>
    <w:p w14:paraId="443898D0">
      <w:pPr>
        <w:spacing w:line="360" w:lineRule="auto"/>
        <w:rPr>
          <w:rFonts w:hint="eastAsia"/>
        </w:rPr>
      </w:pPr>
      <w:r>
        <w:rPr>
          <w:rFonts w:hint="eastAsia"/>
        </w:rPr>
        <w:t>1.3 具有履行合同所必需的设备和专业技术能力书面声明函。</w:t>
      </w:r>
    </w:p>
    <w:p w14:paraId="4A4B2AAB">
      <w:pPr>
        <w:spacing w:line="360" w:lineRule="auto"/>
        <w:rPr>
          <w:rFonts w:hint="eastAsia"/>
        </w:rPr>
      </w:pPr>
      <w:r>
        <w:rPr>
          <w:rFonts w:hint="eastAsia"/>
        </w:rPr>
        <w:t xml:space="preserve">1.4 </w:t>
      </w:r>
      <w:r>
        <w:rPr>
          <w:rFonts w:hint="eastAsia"/>
          <w:szCs w:val="21"/>
        </w:rPr>
        <w:t>投标人</w:t>
      </w:r>
      <w:r>
        <w:rPr>
          <w:rFonts w:hint="eastAsia"/>
        </w:rPr>
        <w:t>缴纳税收证明材料：2025年1月1日以来任意</w:t>
      </w:r>
      <w:r>
        <w:t>1</w:t>
      </w:r>
      <w:r>
        <w:rPr>
          <w:rFonts w:hint="eastAsia"/>
        </w:rPr>
        <w:t>个月缴纳的相关税收凭据（主管行政部门或银行出具）。其他组织和自然人也需要提供缴纳税收的凭证（新成立企业从成立之日起计算，依法免税的</w:t>
      </w:r>
      <w:r>
        <w:rPr>
          <w:rFonts w:hint="eastAsia"/>
          <w:szCs w:val="21"/>
        </w:rPr>
        <w:t>投标人</w:t>
      </w:r>
      <w:r>
        <w:rPr>
          <w:rFonts w:hint="eastAsia"/>
        </w:rPr>
        <w:t>，应提供相应行政部门出具的证明文件，证明其依法免税）。</w:t>
      </w:r>
    </w:p>
    <w:p w14:paraId="40B0CA6C">
      <w:pPr>
        <w:spacing w:line="360" w:lineRule="auto"/>
        <w:rPr>
          <w:rFonts w:hint="eastAsia"/>
        </w:rPr>
      </w:pPr>
      <w:r>
        <w:rPr>
          <w:rFonts w:hint="eastAsia"/>
        </w:rPr>
        <w:t xml:space="preserve">1.5 </w:t>
      </w:r>
      <w:r>
        <w:rPr>
          <w:rFonts w:hint="eastAsia"/>
          <w:szCs w:val="21"/>
        </w:rPr>
        <w:t>投标人</w:t>
      </w:r>
      <w:r>
        <w:rPr>
          <w:rFonts w:hint="eastAsia"/>
        </w:rPr>
        <w:t>缴纳社会保障资金证明材料：2025年1月1日以来任意</w:t>
      </w:r>
      <w:r>
        <w:t>1</w:t>
      </w:r>
      <w:r>
        <w:rPr>
          <w:rFonts w:hint="eastAsia"/>
        </w:rPr>
        <w:t>个月缴纳社会保险凭据（专用收据或社会保险缴纳清单）。其他组织和自然人也需要提供缴纳社会保险的凭证（新成立企业从成立之日起计算，依法不需要缴纳社会保障资金的</w:t>
      </w:r>
      <w:r>
        <w:rPr>
          <w:rFonts w:hint="eastAsia"/>
          <w:szCs w:val="21"/>
        </w:rPr>
        <w:t>投标人</w:t>
      </w:r>
      <w:r>
        <w:rPr>
          <w:rFonts w:hint="eastAsia"/>
        </w:rPr>
        <w:t>，应提供相应行政部门出具的证明文件，证明其依法不需要缴纳社会保障资金）。</w:t>
      </w:r>
    </w:p>
    <w:p w14:paraId="59526514">
      <w:pPr>
        <w:spacing w:line="360" w:lineRule="auto"/>
        <w:rPr>
          <w:rFonts w:hint="eastAsia"/>
        </w:rPr>
      </w:pPr>
      <w:r>
        <w:rPr>
          <w:rFonts w:hint="eastAsia"/>
        </w:rPr>
        <w:t xml:space="preserve">1.6 </w:t>
      </w:r>
      <w:r>
        <w:rPr>
          <w:rFonts w:hint="eastAsia"/>
          <w:szCs w:val="21"/>
        </w:rPr>
        <w:t>投标人</w:t>
      </w:r>
      <w:r>
        <w:rPr>
          <w:rFonts w:hint="eastAsia"/>
        </w:rPr>
        <w:t>参与采购活动前三年内在经营活动中没有重大违法记录的书面声明函。</w:t>
      </w:r>
    </w:p>
    <w:p w14:paraId="48FC93EC">
      <w:pPr>
        <w:spacing w:line="360" w:lineRule="auto"/>
        <w:rPr>
          <w:rFonts w:hint="eastAsia"/>
          <w:szCs w:val="21"/>
        </w:rPr>
      </w:pPr>
      <w:r>
        <w:rPr>
          <w:rFonts w:hint="eastAsia"/>
          <w:szCs w:val="21"/>
        </w:rPr>
        <w:t>2. 落实政府采购政策满足的资格要求：本项目执行促进中小型企业发展政策（监狱企业、残疾人福利性企业视同小微企业）、强制采购节能产品、优先采购节能环保产品等政府采购政策</w:t>
      </w:r>
      <w:r>
        <w:rPr>
          <w:rFonts w:hint="eastAsia"/>
          <w:bCs/>
          <w:szCs w:val="21"/>
          <w:shd w:val="clear" w:color="auto" w:fill="FFFFFF"/>
        </w:rPr>
        <w:t>。</w:t>
      </w:r>
    </w:p>
    <w:p w14:paraId="1CC38E8B">
      <w:pPr>
        <w:spacing w:line="360" w:lineRule="auto"/>
        <w:rPr>
          <w:rFonts w:hint="eastAsia"/>
        </w:rPr>
      </w:pPr>
      <w:r>
        <w:rPr>
          <w:rFonts w:hint="eastAsia"/>
        </w:rPr>
        <w:t>3、本项目的特定资格要求：</w:t>
      </w:r>
    </w:p>
    <w:p w14:paraId="15401AC1">
      <w:pPr>
        <w:tabs>
          <w:tab w:val="left" w:pos="630"/>
        </w:tabs>
        <w:spacing w:line="360" w:lineRule="auto"/>
        <w:rPr>
          <w:rFonts w:hint="eastAsia"/>
          <w:szCs w:val="21"/>
        </w:rPr>
      </w:pPr>
      <w:r>
        <w:rPr>
          <w:rFonts w:hint="eastAsia"/>
          <w:szCs w:val="21"/>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被列入失信被执行人、重大税收违法失信主体、政府采购严重违法失信行为记录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w:t>
      </w:r>
    </w:p>
    <w:p w14:paraId="574F10B0">
      <w:pPr>
        <w:tabs>
          <w:tab w:val="left" w:pos="630"/>
        </w:tabs>
        <w:spacing w:line="360" w:lineRule="auto"/>
        <w:rPr>
          <w:rFonts w:hint="eastAsia"/>
          <w:szCs w:val="21"/>
        </w:rPr>
      </w:pPr>
      <w:r>
        <w:rPr>
          <w:rFonts w:hint="eastAsia"/>
          <w:szCs w:val="21"/>
        </w:rPr>
        <w:t>3.2 单位负责人为同一人或者存在直接控股、管理关系的不同投标人，不得参加同一合同项下的政府采购活动（提供相关承诺函，格式自拟）。</w:t>
      </w:r>
    </w:p>
    <w:p w14:paraId="0F402115">
      <w:pPr>
        <w:tabs>
          <w:tab w:val="left" w:pos="720"/>
        </w:tabs>
        <w:spacing w:line="360" w:lineRule="auto"/>
        <w:ind w:firstLine="420" w:firstLineChars="200"/>
        <w:rPr>
          <w:rFonts w:hint="eastAsia"/>
          <w:szCs w:val="21"/>
        </w:rPr>
      </w:pPr>
      <w:r>
        <w:rPr>
          <w:rFonts w:hint="eastAsia"/>
          <w:szCs w:val="21"/>
        </w:rPr>
        <w:t>3.3 为本采购项目提供整体设计、规范编制或者项目管理、监理、检测等服务的，不得再参加本项目的其他招标采购活动（提供相关承诺函，格式自拟）。</w:t>
      </w:r>
    </w:p>
    <w:p w14:paraId="2A41E0BF">
      <w:pPr>
        <w:tabs>
          <w:tab w:val="left" w:pos="720"/>
        </w:tabs>
        <w:spacing w:line="360" w:lineRule="auto"/>
        <w:ind w:firstLine="422" w:firstLineChars="200"/>
        <w:rPr>
          <w:rFonts w:hint="eastAsia"/>
          <w:b/>
        </w:rPr>
      </w:pPr>
      <w:r>
        <w:rPr>
          <w:rFonts w:hint="eastAsia"/>
          <w:b/>
        </w:rPr>
        <w:t>特别提醒：资格审查要求的所有内容须同时上传至河南省公共资源交易中心电子交易平台“资格审查材料”一栏中。未按照以上述要求上传的后果由投标人自行承担。</w:t>
      </w:r>
    </w:p>
    <w:p w14:paraId="3C57C91E">
      <w:pPr>
        <w:spacing w:before="156" w:beforeLines="50" w:after="156" w:afterLines="50" w:line="360" w:lineRule="auto"/>
        <w:ind w:left="687" w:leftChars="227" w:hanging="210" w:hangingChars="100"/>
        <w:rPr>
          <w:rFonts w:hint="eastAsia"/>
        </w:rPr>
      </w:pPr>
    </w:p>
    <w:p w14:paraId="0ECB538D">
      <w:pPr>
        <w:spacing w:line="360" w:lineRule="auto"/>
        <w:rPr>
          <w:rFonts w:hint="eastAsia"/>
        </w:rPr>
      </w:pPr>
      <w:r>
        <w:rPr>
          <w:rFonts w:hint="eastAsia"/>
        </w:rPr>
        <w:br w:type="page"/>
      </w:r>
    </w:p>
    <w:p w14:paraId="2950FEEC">
      <w:pPr>
        <w:pStyle w:val="7"/>
        <w:spacing w:line="360" w:lineRule="auto"/>
        <w:rPr>
          <w:rFonts w:hint="eastAsia"/>
          <w:b/>
          <w:sz w:val="24"/>
        </w:rPr>
        <w:sectPr>
          <w:headerReference r:id="rId16" w:type="default"/>
          <w:footerReference r:id="rId17" w:type="default"/>
          <w:pgSz w:w="11906" w:h="16838"/>
          <w:pgMar w:top="1304" w:right="1797" w:bottom="1304" w:left="1797" w:header="851" w:footer="754" w:gutter="0"/>
          <w:cols w:space="720" w:num="1"/>
          <w:docGrid w:type="lines" w:linePitch="312" w:charSpace="0"/>
        </w:sectPr>
      </w:pPr>
    </w:p>
    <w:p w14:paraId="23506E24">
      <w:pPr>
        <w:pStyle w:val="7"/>
        <w:spacing w:line="360" w:lineRule="auto"/>
        <w:rPr>
          <w:rFonts w:hint="eastAsia"/>
          <w:b/>
          <w:sz w:val="24"/>
        </w:rPr>
      </w:pPr>
    </w:p>
    <w:p w14:paraId="5F9E1CB7">
      <w:pPr>
        <w:pStyle w:val="2"/>
        <w:rPr>
          <w:rFonts w:hint="eastAsia" w:ascii="宋体" w:hAnsi="宋体"/>
          <w:szCs w:val="32"/>
        </w:rPr>
      </w:pPr>
      <w:bookmarkStart w:id="780" w:name="_Toc6534"/>
      <w:bookmarkStart w:id="781" w:name="_Toc30237"/>
      <w:r>
        <w:rPr>
          <w:rFonts w:hint="eastAsia" w:ascii="宋体" w:hAnsi="宋体"/>
          <w:szCs w:val="32"/>
        </w:rPr>
        <w:t>第八章 投标文件通用格式</w:t>
      </w:r>
      <w:bookmarkEnd w:id="771"/>
      <w:bookmarkEnd w:id="780"/>
      <w:bookmarkEnd w:id="781"/>
    </w:p>
    <w:p w14:paraId="4FC076D1">
      <w:pPr>
        <w:spacing w:line="360" w:lineRule="auto"/>
        <w:jc w:val="right"/>
        <w:rPr>
          <w:rFonts w:hint="eastAsia"/>
          <w:sz w:val="32"/>
          <w:szCs w:val="32"/>
        </w:rPr>
      </w:pPr>
    </w:p>
    <w:p w14:paraId="259AFDB4">
      <w:pPr>
        <w:pStyle w:val="15"/>
        <w:spacing w:before="312" w:beforeLines="100" w:after="312" w:afterLines="100" w:line="360" w:lineRule="auto"/>
        <w:jc w:val="center"/>
        <w:rPr>
          <w:rFonts w:hint="eastAsia" w:hAnsi="宋体" w:cs="宋体"/>
          <w:b/>
          <w:sz w:val="52"/>
          <w:szCs w:val="52"/>
        </w:rPr>
      </w:pPr>
    </w:p>
    <w:p w14:paraId="4603AAB2">
      <w:pPr>
        <w:pStyle w:val="15"/>
        <w:spacing w:before="312" w:beforeLines="100" w:after="312" w:afterLines="100" w:line="360" w:lineRule="auto"/>
        <w:jc w:val="center"/>
        <w:outlineLvl w:val="1"/>
        <w:rPr>
          <w:rFonts w:hint="eastAsia" w:hAnsi="宋体" w:cs="宋体"/>
          <w:b/>
          <w:bCs/>
          <w:sz w:val="32"/>
          <w:u w:val="single"/>
        </w:rPr>
      </w:pPr>
      <w:r>
        <w:rPr>
          <w:rFonts w:hint="eastAsia" w:hAnsi="宋体" w:cs="宋体"/>
          <w:b/>
          <w:sz w:val="44"/>
          <w:szCs w:val="44"/>
          <w:u w:val="single"/>
        </w:rPr>
        <w:t xml:space="preserve">                    </w:t>
      </w:r>
      <w:bookmarkStart w:id="782" w:name="_Toc13749"/>
      <w:r>
        <w:rPr>
          <w:rFonts w:hint="eastAsia" w:hAnsi="宋体" w:cs="宋体"/>
          <w:b/>
          <w:sz w:val="44"/>
          <w:szCs w:val="44"/>
        </w:rPr>
        <w:t>项目</w:t>
      </w:r>
      <w:bookmarkEnd w:id="782"/>
    </w:p>
    <w:p w14:paraId="15B8535F">
      <w:pPr>
        <w:pStyle w:val="15"/>
        <w:spacing w:before="312" w:beforeLines="100" w:after="312" w:afterLines="100" w:line="360" w:lineRule="auto"/>
        <w:jc w:val="center"/>
        <w:rPr>
          <w:rFonts w:hint="eastAsia" w:hAnsi="宋体" w:cs="宋体"/>
          <w:b/>
          <w:bCs/>
          <w:sz w:val="84"/>
          <w:szCs w:val="84"/>
        </w:rPr>
      </w:pPr>
      <w:r>
        <w:rPr>
          <w:rFonts w:hint="eastAsia" w:hAnsi="宋体" w:cs="宋体"/>
          <w:b/>
          <w:bCs/>
          <w:sz w:val="84"/>
          <w:szCs w:val="84"/>
        </w:rPr>
        <w:t>投标文件</w:t>
      </w:r>
    </w:p>
    <w:p w14:paraId="5B631BC8">
      <w:pPr>
        <w:pStyle w:val="15"/>
        <w:spacing w:before="312" w:beforeLines="100" w:after="312" w:afterLines="100" w:line="360" w:lineRule="auto"/>
        <w:jc w:val="center"/>
        <w:rPr>
          <w:rFonts w:hint="eastAsia" w:hAnsi="宋体" w:cs="宋体"/>
          <w:b/>
          <w:sz w:val="28"/>
          <w:szCs w:val="28"/>
        </w:rPr>
      </w:pPr>
      <w:r>
        <w:rPr>
          <w:rFonts w:hint="eastAsia" w:hAnsi="宋体" w:cs="宋体"/>
          <w:b/>
          <w:sz w:val="28"/>
          <w:szCs w:val="28"/>
        </w:rPr>
        <w:t>项目编号：</w:t>
      </w:r>
    </w:p>
    <w:p w14:paraId="042DB14F">
      <w:pPr>
        <w:pStyle w:val="15"/>
        <w:spacing w:before="312" w:beforeLines="100" w:after="312" w:afterLines="100" w:line="360" w:lineRule="auto"/>
        <w:jc w:val="center"/>
        <w:rPr>
          <w:rFonts w:hint="eastAsia" w:hAnsi="宋体" w:cs="宋体"/>
          <w:bCs/>
          <w:sz w:val="32"/>
        </w:rPr>
      </w:pPr>
      <w:r>
        <w:rPr>
          <w:rFonts w:hint="eastAsia" w:hAnsi="宋体" w:cs="宋体"/>
          <w:bCs/>
          <w:sz w:val="32"/>
        </w:rPr>
        <w:t>（封面）</w:t>
      </w:r>
    </w:p>
    <w:p w14:paraId="67F7DB85">
      <w:pPr>
        <w:pStyle w:val="15"/>
        <w:spacing w:before="312" w:beforeLines="100" w:after="312" w:afterLines="100" w:line="360" w:lineRule="auto"/>
        <w:jc w:val="center"/>
        <w:rPr>
          <w:rFonts w:hint="eastAsia" w:hAnsi="宋体" w:cs="宋体"/>
          <w:b/>
          <w:bCs/>
          <w:sz w:val="32"/>
          <w:u w:val="single"/>
        </w:rPr>
      </w:pPr>
    </w:p>
    <w:p w14:paraId="2AAD6385">
      <w:pPr>
        <w:pStyle w:val="15"/>
        <w:spacing w:before="312" w:beforeLines="100" w:after="312" w:afterLines="100" w:line="360" w:lineRule="auto"/>
        <w:jc w:val="center"/>
        <w:rPr>
          <w:rFonts w:hint="eastAsia" w:hAnsi="宋体" w:cs="宋体"/>
          <w:b/>
          <w:bCs/>
          <w:sz w:val="32"/>
          <w:u w:val="single"/>
        </w:rPr>
      </w:pPr>
    </w:p>
    <w:p w14:paraId="58CFB5DD">
      <w:pPr>
        <w:pStyle w:val="15"/>
        <w:spacing w:before="312" w:beforeLines="100" w:after="312" w:afterLines="100" w:line="360" w:lineRule="auto"/>
        <w:rPr>
          <w:rFonts w:hint="eastAsia" w:hAnsi="宋体" w:cs="宋体"/>
          <w:b/>
          <w:bCs/>
          <w:sz w:val="32"/>
          <w:u w:val="single"/>
        </w:rPr>
      </w:pPr>
    </w:p>
    <w:p w14:paraId="3380C33E">
      <w:pPr>
        <w:pStyle w:val="15"/>
        <w:spacing w:before="312" w:beforeLines="100" w:after="312" w:afterLines="100" w:line="360" w:lineRule="auto"/>
        <w:jc w:val="center"/>
        <w:rPr>
          <w:rFonts w:hint="eastAsia" w:hAnsi="宋体" w:cs="宋体"/>
          <w:b/>
          <w:bCs/>
          <w:sz w:val="28"/>
          <w:szCs w:val="20"/>
          <w:u w:val="single"/>
        </w:rPr>
      </w:pPr>
      <w:r>
        <w:rPr>
          <w:rFonts w:hint="eastAsia" w:hAnsi="宋体" w:cs="宋体"/>
          <w:b/>
          <w:bCs/>
          <w:sz w:val="28"/>
          <w:szCs w:val="20"/>
        </w:rPr>
        <w:t xml:space="preserve"> 投   标  人：</w:t>
      </w:r>
      <w:r>
        <w:rPr>
          <w:rFonts w:hint="eastAsia" w:hAnsi="宋体" w:cs="宋体"/>
          <w:b/>
          <w:bCs/>
          <w:sz w:val="28"/>
          <w:szCs w:val="20"/>
          <w:u w:val="single"/>
        </w:rPr>
        <w:t xml:space="preserve">                     </w:t>
      </w:r>
      <w:r>
        <w:rPr>
          <w:rFonts w:hint="eastAsia" w:hAnsi="宋体" w:cs="宋体"/>
          <w:b/>
          <w:bCs/>
          <w:sz w:val="28"/>
          <w:szCs w:val="20"/>
        </w:rPr>
        <w:t>（盖章）</w:t>
      </w:r>
    </w:p>
    <w:p w14:paraId="6DCEE0D6">
      <w:pPr>
        <w:pStyle w:val="15"/>
        <w:spacing w:before="312" w:beforeLines="100" w:after="312" w:afterLines="100" w:line="360" w:lineRule="auto"/>
        <w:ind w:firstLine="557" w:firstLineChars="198"/>
        <w:rPr>
          <w:rFonts w:hint="eastAsia" w:hAnsi="宋体" w:cs="宋体"/>
          <w:b/>
          <w:bCs/>
          <w:sz w:val="28"/>
          <w:szCs w:val="28"/>
        </w:rPr>
      </w:pPr>
      <w:r>
        <w:rPr>
          <w:rFonts w:hint="eastAsia" w:hAnsi="宋体" w:cs="宋体"/>
          <w:b/>
          <w:bCs/>
          <w:sz w:val="28"/>
          <w:szCs w:val="28"/>
        </w:rPr>
        <w:t>法定代表人或其委托代理人：</w:t>
      </w:r>
      <w:r>
        <w:rPr>
          <w:rFonts w:hint="eastAsia" w:hAnsi="宋体" w:cs="宋体"/>
          <w:b/>
          <w:bCs/>
          <w:sz w:val="28"/>
          <w:szCs w:val="28"/>
          <w:u w:val="single"/>
        </w:rPr>
        <w:t xml:space="preserve">              </w:t>
      </w:r>
      <w:r>
        <w:rPr>
          <w:rFonts w:hint="eastAsia" w:hAnsi="宋体" w:cs="宋体"/>
          <w:b/>
          <w:bCs/>
          <w:sz w:val="28"/>
          <w:szCs w:val="28"/>
        </w:rPr>
        <w:t>（签字或盖章）</w:t>
      </w:r>
    </w:p>
    <w:p w14:paraId="34945E3D">
      <w:pPr>
        <w:pStyle w:val="13"/>
        <w:spacing w:line="360" w:lineRule="auto"/>
        <w:ind w:left="0" w:leftChars="0" w:firstLine="1987" w:firstLineChars="707"/>
        <w:rPr>
          <w:rFonts w:hint="eastAsia"/>
          <w:b/>
          <w:bCs/>
          <w:sz w:val="28"/>
          <w:szCs w:val="28"/>
        </w:rPr>
      </w:pPr>
      <w:r>
        <w:rPr>
          <w:rFonts w:hint="eastAsia"/>
          <w:b/>
          <w:bCs/>
          <w:sz w:val="28"/>
          <w:szCs w:val="28"/>
        </w:rPr>
        <w:t>日      期：       年    月    日</w:t>
      </w:r>
    </w:p>
    <w:p w14:paraId="3AF02499">
      <w:pPr>
        <w:spacing w:line="360" w:lineRule="auto"/>
        <w:jc w:val="center"/>
        <w:rPr>
          <w:rFonts w:hint="eastAsia"/>
          <w:b/>
          <w:sz w:val="24"/>
        </w:rPr>
      </w:pPr>
      <w:r>
        <w:rPr>
          <w:rFonts w:hint="eastAsia"/>
          <w:b/>
          <w:sz w:val="24"/>
        </w:rPr>
        <w:br w:type="page"/>
      </w:r>
    </w:p>
    <w:p w14:paraId="29B8E4A4">
      <w:pPr>
        <w:spacing w:line="360" w:lineRule="auto"/>
        <w:jc w:val="center"/>
        <w:rPr>
          <w:rFonts w:hint="eastAsia"/>
          <w:b/>
          <w:sz w:val="28"/>
          <w:szCs w:val="28"/>
        </w:rPr>
      </w:pPr>
      <w:r>
        <w:rPr>
          <w:rFonts w:hint="eastAsia"/>
          <w:b/>
          <w:sz w:val="28"/>
          <w:szCs w:val="28"/>
        </w:rPr>
        <w:t>投标文件目录</w:t>
      </w:r>
    </w:p>
    <w:p w14:paraId="35282000">
      <w:pPr>
        <w:spacing w:line="360" w:lineRule="auto"/>
        <w:jc w:val="center"/>
        <w:rPr>
          <w:rFonts w:hint="eastAsia"/>
          <w:b/>
          <w:sz w:val="24"/>
        </w:rPr>
      </w:pPr>
    </w:p>
    <w:p w14:paraId="5F607138">
      <w:pPr>
        <w:numPr>
          <w:ilvl w:val="0"/>
          <w:numId w:val="27"/>
        </w:numPr>
        <w:spacing w:line="360" w:lineRule="auto"/>
        <w:rPr>
          <w:rFonts w:hint="eastAsia"/>
          <w:szCs w:val="21"/>
        </w:rPr>
      </w:pPr>
      <w:r>
        <w:rPr>
          <w:rFonts w:hint="eastAsia"/>
          <w:szCs w:val="21"/>
        </w:rPr>
        <w:t>法定代表人身份证明</w:t>
      </w:r>
    </w:p>
    <w:p w14:paraId="11E46DA7">
      <w:pPr>
        <w:numPr>
          <w:ilvl w:val="0"/>
          <w:numId w:val="27"/>
        </w:numPr>
        <w:spacing w:line="360" w:lineRule="auto"/>
        <w:rPr>
          <w:rFonts w:hint="eastAsia"/>
          <w:szCs w:val="21"/>
        </w:rPr>
      </w:pPr>
      <w:r>
        <w:rPr>
          <w:rFonts w:hint="eastAsia"/>
          <w:szCs w:val="21"/>
        </w:rPr>
        <w:t>法定代表人授权委托书</w:t>
      </w:r>
    </w:p>
    <w:p w14:paraId="034F6043">
      <w:pPr>
        <w:numPr>
          <w:ilvl w:val="0"/>
          <w:numId w:val="27"/>
        </w:numPr>
        <w:spacing w:line="360" w:lineRule="auto"/>
        <w:rPr>
          <w:rFonts w:hint="eastAsia"/>
          <w:szCs w:val="21"/>
        </w:rPr>
      </w:pPr>
      <w:r>
        <w:rPr>
          <w:rFonts w:hint="eastAsia"/>
          <w:szCs w:val="21"/>
        </w:rPr>
        <w:t>投标书</w:t>
      </w:r>
    </w:p>
    <w:p w14:paraId="172C8D7C">
      <w:pPr>
        <w:numPr>
          <w:ilvl w:val="0"/>
          <w:numId w:val="27"/>
        </w:numPr>
        <w:spacing w:line="360" w:lineRule="auto"/>
        <w:rPr>
          <w:rFonts w:hint="eastAsia"/>
          <w:szCs w:val="21"/>
        </w:rPr>
      </w:pPr>
      <w:r>
        <w:rPr>
          <w:rFonts w:hint="eastAsia"/>
          <w:kern w:val="0"/>
          <w:szCs w:val="21"/>
        </w:rPr>
        <w:t>投标承诺函</w:t>
      </w:r>
    </w:p>
    <w:p w14:paraId="233C88CC">
      <w:pPr>
        <w:numPr>
          <w:ilvl w:val="0"/>
          <w:numId w:val="27"/>
        </w:numPr>
        <w:spacing w:line="360" w:lineRule="auto"/>
        <w:rPr>
          <w:rFonts w:hint="eastAsia"/>
          <w:szCs w:val="21"/>
        </w:rPr>
      </w:pPr>
      <w:r>
        <w:rPr>
          <w:rFonts w:hint="eastAsia"/>
          <w:szCs w:val="21"/>
        </w:rPr>
        <w:t>投标报价表格</w:t>
      </w:r>
    </w:p>
    <w:p w14:paraId="6458ADCF">
      <w:pPr>
        <w:numPr>
          <w:ilvl w:val="0"/>
          <w:numId w:val="27"/>
        </w:numPr>
        <w:spacing w:line="360" w:lineRule="auto"/>
        <w:rPr>
          <w:rFonts w:hint="eastAsia"/>
          <w:szCs w:val="21"/>
        </w:rPr>
      </w:pPr>
      <w:r>
        <w:rPr>
          <w:rFonts w:hint="eastAsia"/>
          <w:szCs w:val="21"/>
        </w:rPr>
        <w:t>技术偏差表</w:t>
      </w:r>
    </w:p>
    <w:p w14:paraId="3910C4C7">
      <w:pPr>
        <w:numPr>
          <w:ilvl w:val="0"/>
          <w:numId w:val="27"/>
        </w:numPr>
        <w:spacing w:line="360" w:lineRule="auto"/>
        <w:rPr>
          <w:rFonts w:hint="eastAsia"/>
          <w:szCs w:val="21"/>
        </w:rPr>
      </w:pPr>
      <w:r>
        <w:rPr>
          <w:rFonts w:hint="eastAsia"/>
          <w:szCs w:val="21"/>
        </w:rPr>
        <w:t>商务部分</w:t>
      </w:r>
    </w:p>
    <w:p w14:paraId="5359D352">
      <w:pPr>
        <w:numPr>
          <w:ilvl w:val="0"/>
          <w:numId w:val="27"/>
        </w:numPr>
        <w:spacing w:line="360" w:lineRule="auto"/>
        <w:rPr>
          <w:rFonts w:hint="eastAsia"/>
          <w:szCs w:val="21"/>
        </w:rPr>
      </w:pPr>
      <w:r>
        <w:rPr>
          <w:rFonts w:hint="eastAsia"/>
          <w:szCs w:val="21"/>
        </w:rPr>
        <w:t>技术部分</w:t>
      </w:r>
    </w:p>
    <w:p w14:paraId="380CC024">
      <w:pPr>
        <w:numPr>
          <w:ilvl w:val="0"/>
          <w:numId w:val="27"/>
        </w:numPr>
        <w:spacing w:line="360" w:lineRule="auto"/>
        <w:rPr>
          <w:rFonts w:hint="eastAsia"/>
          <w:szCs w:val="21"/>
        </w:rPr>
      </w:pPr>
      <w:r>
        <w:rPr>
          <w:rFonts w:hint="eastAsia"/>
          <w:szCs w:val="21"/>
        </w:rPr>
        <w:t>反商业贿赂承诺书</w:t>
      </w:r>
    </w:p>
    <w:p w14:paraId="5C33E644">
      <w:pPr>
        <w:numPr>
          <w:ilvl w:val="0"/>
          <w:numId w:val="27"/>
        </w:numPr>
        <w:spacing w:line="360" w:lineRule="auto"/>
        <w:rPr>
          <w:rFonts w:hint="eastAsia"/>
          <w:szCs w:val="21"/>
        </w:rPr>
      </w:pPr>
      <w:r>
        <w:rPr>
          <w:rFonts w:hint="eastAsia"/>
          <w:szCs w:val="21"/>
        </w:rPr>
        <w:t>中小企业声明函（如有）</w:t>
      </w:r>
    </w:p>
    <w:p w14:paraId="4E159997">
      <w:pPr>
        <w:numPr>
          <w:ilvl w:val="0"/>
          <w:numId w:val="27"/>
        </w:numPr>
        <w:spacing w:line="360" w:lineRule="auto"/>
        <w:rPr>
          <w:rFonts w:hint="eastAsia"/>
          <w:szCs w:val="21"/>
        </w:rPr>
      </w:pPr>
      <w:r>
        <w:rPr>
          <w:rFonts w:hint="eastAsia"/>
          <w:szCs w:val="21"/>
        </w:rPr>
        <w:t>残疾人福利性单位声明函（如有）</w:t>
      </w:r>
    </w:p>
    <w:p w14:paraId="2DB21C5C">
      <w:pPr>
        <w:numPr>
          <w:ilvl w:val="0"/>
          <w:numId w:val="27"/>
        </w:numPr>
        <w:spacing w:line="360" w:lineRule="auto"/>
        <w:rPr>
          <w:rFonts w:hint="eastAsia"/>
          <w:szCs w:val="21"/>
        </w:rPr>
      </w:pPr>
      <w:r>
        <w:rPr>
          <w:rFonts w:hint="eastAsia"/>
          <w:szCs w:val="21"/>
        </w:rPr>
        <w:t>监狱企业证明材料（如有）</w:t>
      </w:r>
    </w:p>
    <w:p w14:paraId="24F6BB7B">
      <w:pPr>
        <w:numPr>
          <w:ilvl w:val="0"/>
          <w:numId w:val="27"/>
        </w:numPr>
        <w:spacing w:line="360" w:lineRule="auto"/>
        <w:rPr>
          <w:rFonts w:hint="eastAsia"/>
          <w:bCs/>
          <w:szCs w:val="21"/>
        </w:rPr>
      </w:pPr>
      <w:r>
        <w:rPr>
          <w:rFonts w:hint="eastAsia"/>
          <w:szCs w:val="21"/>
        </w:rPr>
        <w:t>其他资料</w:t>
      </w:r>
    </w:p>
    <w:p w14:paraId="28833128">
      <w:pPr>
        <w:spacing w:line="360" w:lineRule="auto"/>
        <w:rPr>
          <w:rFonts w:hint="eastAsia"/>
          <w:bCs/>
          <w:szCs w:val="21"/>
        </w:rPr>
      </w:pPr>
    </w:p>
    <w:p w14:paraId="4C018C58">
      <w:pPr>
        <w:pStyle w:val="3"/>
        <w:jc w:val="center"/>
        <w:rPr>
          <w:rFonts w:hint="eastAsia" w:ascii="宋体" w:hAnsi="宋体"/>
        </w:rPr>
      </w:pPr>
      <w:r>
        <w:rPr>
          <w:rFonts w:hint="eastAsia" w:ascii="宋体" w:hAnsi="宋体"/>
          <w:sz w:val="36"/>
        </w:rPr>
        <w:br w:type="page"/>
      </w:r>
      <w:bookmarkStart w:id="783" w:name="_Toc2504"/>
      <w:bookmarkStart w:id="784" w:name="_Toc17342"/>
      <w:bookmarkStart w:id="785" w:name="_Toc26039"/>
      <w:bookmarkStart w:id="786" w:name="_Toc1678"/>
      <w:bookmarkStart w:id="787" w:name="_Toc25945"/>
      <w:bookmarkStart w:id="788" w:name="_Toc312133589"/>
      <w:r>
        <w:rPr>
          <w:rFonts w:hint="eastAsia" w:ascii="宋体" w:hAnsi="宋体"/>
          <w:szCs w:val="24"/>
        </w:rPr>
        <w:t>一、法定代表人身份证明</w:t>
      </w:r>
      <w:bookmarkEnd w:id="783"/>
      <w:bookmarkEnd w:id="784"/>
      <w:bookmarkEnd w:id="785"/>
      <w:bookmarkEnd w:id="786"/>
      <w:bookmarkEnd w:id="787"/>
    </w:p>
    <w:p w14:paraId="7271EA60">
      <w:pPr>
        <w:autoSpaceDE w:val="0"/>
        <w:autoSpaceDN w:val="0"/>
        <w:adjustRightInd w:val="0"/>
        <w:spacing w:line="360" w:lineRule="auto"/>
        <w:rPr>
          <w:rFonts w:hint="eastAsia"/>
          <w:kern w:val="0"/>
          <w:szCs w:val="21"/>
          <w:u w:val="single"/>
        </w:rPr>
      </w:pPr>
      <w:r>
        <w:rPr>
          <w:rFonts w:hint="eastAsia"/>
          <w:kern w:val="0"/>
          <w:szCs w:val="21"/>
        </w:rPr>
        <w:t>投标人名称：</w:t>
      </w:r>
      <w:r>
        <w:rPr>
          <w:rFonts w:hint="eastAsia"/>
          <w:kern w:val="0"/>
          <w:szCs w:val="21"/>
          <w:u w:val="single"/>
        </w:rPr>
        <w:t xml:space="preserve">                          </w:t>
      </w:r>
    </w:p>
    <w:p w14:paraId="17395FFC">
      <w:pPr>
        <w:autoSpaceDE w:val="0"/>
        <w:autoSpaceDN w:val="0"/>
        <w:adjustRightInd w:val="0"/>
        <w:spacing w:line="360" w:lineRule="auto"/>
        <w:rPr>
          <w:rFonts w:hint="eastAsia"/>
          <w:kern w:val="0"/>
          <w:szCs w:val="21"/>
          <w:u w:val="single"/>
        </w:rPr>
      </w:pPr>
      <w:r>
        <w:rPr>
          <w:rFonts w:hint="eastAsia"/>
          <w:kern w:val="0"/>
          <w:szCs w:val="21"/>
        </w:rPr>
        <w:t>姓名：</w:t>
      </w:r>
      <w:r>
        <w:rPr>
          <w:rFonts w:hint="eastAsia"/>
          <w:kern w:val="0"/>
          <w:szCs w:val="21"/>
          <w:u w:val="single"/>
        </w:rPr>
        <w:t xml:space="preserve">               </w:t>
      </w:r>
      <w:r>
        <w:rPr>
          <w:rFonts w:hint="eastAsia"/>
          <w:kern w:val="0"/>
          <w:szCs w:val="21"/>
        </w:rPr>
        <w:t>性别：</w:t>
      </w:r>
      <w:r>
        <w:rPr>
          <w:rFonts w:hint="eastAsia"/>
          <w:kern w:val="0"/>
          <w:szCs w:val="21"/>
          <w:u w:val="single"/>
        </w:rPr>
        <w:t xml:space="preserve">            </w:t>
      </w:r>
      <w:r>
        <w:rPr>
          <w:rFonts w:hint="eastAsia"/>
          <w:kern w:val="0"/>
          <w:szCs w:val="21"/>
        </w:rPr>
        <w:t xml:space="preserve"> 年龄：</w:t>
      </w:r>
      <w:r>
        <w:rPr>
          <w:rFonts w:hint="eastAsia"/>
          <w:kern w:val="0"/>
          <w:szCs w:val="21"/>
          <w:u w:val="single"/>
        </w:rPr>
        <w:t xml:space="preserve">       </w:t>
      </w:r>
      <w:r>
        <w:rPr>
          <w:rFonts w:hint="eastAsia"/>
          <w:kern w:val="0"/>
          <w:szCs w:val="21"/>
        </w:rPr>
        <w:t xml:space="preserve"> 职务：</w:t>
      </w:r>
      <w:r>
        <w:rPr>
          <w:rFonts w:hint="eastAsia"/>
          <w:kern w:val="0"/>
          <w:szCs w:val="21"/>
          <w:u w:val="single"/>
        </w:rPr>
        <w:t xml:space="preserve">                 </w:t>
      </w:r>
    </w:p>
    <w:p w14:paraId="0F240ACF">
      <w:pPr>
        <w:autoSpaceDE w:val="0"/>
        <w:autoSpaceDN w:val="0"/>
        <w:adjustRightInd w:val="0"/>
        <w:spacing w:line="360" w:lineRule="auto"/>
        <w:rPr>
          <w:rFonts w:hint="eastAsia"/>
          <w:kern w:val="0"/>
          <w:szCs w:val="21"/>
        </w:rPr>
      </w:pPr>
      <w:r>
        <w:rPr>
          <w:rFonts w:hint="eastAsia"/>
          <w:kern w:val="0"/>
          <w:szCs w:val="21"/>
        </w:rPr>
        <w:t>系</w:t>
      </w:r>
      <w:r>
        <w:rPr>
          <w:rFonts w:hint="eastAsia"/>
          <w:kern w:val="0"/>
          <w:szCs w:val="21"/>
          <w:u w:val="single"/>
        </w:rPr>
        <w:t xml:space="preserve">                                </w:t>
      </w:r>
      <w:r>
        <w:rPr>
          <w:rFonts w:hint="eastAsia"/>
          <w:kern w:val="0"/>
          <w:szCs w:val="21"/>
        </w:rPr>
        <w:t>（投标人名称）的法定代表人。</w:t>
      </w:r>
    </w:p>
    <w:p w14:paraId="74BF6CE1">
      <w:pPr>
        <w:autoSpaceDE w:val="0"/>
        <w:autoSpaceDN w:val="0"/>
        <w:adjustRightInd w:val="0"/>
        <w:spacing w:line="360" w:lineRule="auto"/>
        <w:rPr>
          <w:rFonts w:hint="eastAsia"/>
          <w:kern w:val="0"/>
          <w:szCs w:val="21"/>
        </w:rPr>
      </w:pPr>
      <w:r>
        <w:rPr>
          <w:rFonts w:hint="eastAsia"/>
          <w:kern w:val="0"/>
          <w:szCs w:val="21"/>
        </w:rPr>
        <w:t>特此证明。</w:t>
      </w:r>
    </w:p>
    <w:p w14:paraId="6EC0F117">
      <w:pPr>
        <w:autoSpaceDE w:val="0"/>
        <w:autoSpaceDN w:val="0"/>
        <w:adjustRightInd w:val="0"/>
        <w:spacing w:line="360" w:lineRule="auto"/>
        <w:rPr>
          <w:rFonts w:hint="eastAsia"/>
          <w:kern w:val="0"/>
          <w:szCs w:val="21"/>
        </w:rPr>
      </w:pPr>
      <w:r>
        <w:rPr>
          <w:rFonts w:hint="eastAsia"/>
          <w:kern w:val="0"/>
          <w:szCs w:val="21"/>
        </w:rPr>
        <w:t>附：法定代表人身份证复印件或扫描件。</w:t>
      </w:r>
    </w:p>
    <w:p w14:paraId="7AEDFB35">
      <w:pPr>
        <w:autoSpaceDE w:val="0"/>
        <w:autoSpaceDN w:val="0"/>
        <w:adjustRightInd w:val="0"/>
        <w:spacing w:line="360" w:lineRule="auto"/>
        <w:rPr>
          <w:rFonts w:hint="eastAsia"/>
          <w:kern w:val="0"/>
          <w:szCs w:val="21"/>
        </w:rPr>
      </w:pPr>
      <w:r>
        <w:rPr>
          <w:rFonts w:hint="eastAsia"/>
          <w:kern w:val="0"/>
          <w:szCs w:val="21"/>
        </w:rPr>
        <w:t>注：本身份证明需由投标人加盖单位公章。</w:t>
      </w:r>
    </w:p>
    <w:p w14:paraId="16CB2A33">
      <w:pPr>
        <w:autoSpaceDE w:val="0"/>
        <w:autoSpaceDN w:val="0"/>
        <w:adjustRightInd w:val="0"/>
        <w:spacing w:line="360" w:lineRule="auto"/>
        <w:rPr>
          <w:rFonts w:hint="eastAsia"/>
          <w:kern w:val="0"/>
          <w:szCs w:val="21"/>
        </w:rPr>
      </w:pPr>
    </w:p>
    <w:p w14:paraId="0B1EA971">
      <w:pPr>
        <w:autoSpaceDE w:val="0"/>
        <w:autoSpaceDN w:val="0"/>
        <w:adjustRightInd w:val="0"/>
        <w:spacing w:line="360" w:lineRule="auto"/>
        <w:rPr>
          <w:rFonts w:hint="eastAsia"/>
          <w:kern w:val="0"/>
          <w:szCs w:val="21"/>
        </w:rPr>
      </w:pPr>
    </w:p>
    <w:p w14:paraId="32570F65">
      <w:pPr>
        <w:spacing w:line="360" w:lineRule="auto"/>
        <w:ind w:firstLine="3150" w:firstLineChars="1500"/>
        <w:rPr>
          <w:rFonts w:hint="eastAsia"/>
          <w:szCs w:val="21"/>
        </w:rPr>
      </w:pPr>
      <w:r>
        <w:rPr>
          <w:rFonts w:hint="eastAsia"/>
          <w:szCs w:val="21"/>
        </w:rPr>
        <w:t>投标人：</w:t>
      </w:r>
      <w:r>
        <w:rPr>
          <w:rFonts w:hint="eastAsia"/>
          <w:szCs w:val="21"/>
          <w:u w:val="single"/>
        </w:rPr>
        <w:t xml:space="preserve">                               </w:t>
      </w:r>
      <w:r>
        <w:rPr>
          <w:rFonts w:hint="eastAsia"/>
          <w:szCs w:val="21"/>
        </w:rPr>
        <w:t>（盖章）</w:t>
      </w:r>
    </w:p>
    <w:p w14:paraId="50F66A23">
      <w:pPr>
        <w:tabs>
          <w:tab w:val="left" w:pos="5380"/>
          <w:tab w:val="left" w:pos="6520"/>
          <w:tab w:val="left" w:pos="7680"/>
        </w:tabs>
        <w:autoSpaceDE w:val="0"/>
        <w:autoSpaceDN w:val="0"/>
        <w:adjustRightInd w:val="0"/>
        <w:spacing w:line="360" w:lineRule="auto"/>
        <w:ind w:right="-20" w:firstLine="4410" w:firstLineChars="21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18528F64">
      <w:pPr>
        <w:pStyle w:val="32"/>
        <w:spacing w:line="360" w:lineRule="auto"/>
        <w:rPr>
          <w:rFonts w:hint="eastAsia" w:ascii="宋体" w:hAnsi="宋体" w:cs="宋体"/>
        </w:rPr>
      </w:pPr>
    </w:p>
    <w:p w14:paraId="3253BE87">
      <w:pPr>
        <w:spacing w:line="360" w:lineRule="auto"/>
        <w:rPr>
          <w:rFonts w:hint="eastAsia"/>
        </w:rPr>
      </w:pPr>
    </w:p>
    <w:p w14:paraId="51C11AA8">
      <w:pPr>
        <w:pStyle w:val="3"/>
        <w:spacing w:line="360" w:lineRule="auto"/>
        <w:ind w:left="2940"/>
        <w:jc w:val="both"/>
        <w:rPr>
          <w:rFonts w:hint="eastAsia" w:ascii="宋体" w:hAnsi="宋体"/>
          <w:kern w:val="0"/>
          <w:sz w:val="20"/>
        </w:rPr>
      </w:pPr>
      <w:bookmarkStart w:id="789" w:name="_Toc16759"/>
      <w:bookmarkStart w:id="790" w:name="_Toc12134"/>
      <w:r>
        <w:rPr>
          <w:rFonts w:hint="eastAsia" w:ascii="宋体" w:hAnsi="宋体"/>
          <w:szCs w:val="24"/>
        </w:rPr>
        <w:br w:type="page"/>
      </w:r>
      <w:bookmarkStart w:id="791" w:name="_Toc22670"/>
      <w:r>
        <w:rPr>
          <w:rFonts w:hint="eastAsia" w:ascii="宋体" w:hAnsi="宋体"/>
          <w:szCs w:val="24"/>
        </w:rPr>
        <w:t>二、法定代表人授权委托书</w:t>
      </w:r>
      <w:bookmarkEnd w:id="788"/>
      <w:bookmarkEnd w:id="789"/>
      <w:bookmarkEnd w:id="790"/>
      <w:bookmarkEnd w:id="791"/>
    </w:p>
    <w:p w14:paraId="78288229">
      <w:pPr>
        <w:tabs>
          <w:tab w:val="left" w:pos="3880"/>
        </w:tabs>
        <w:autoSpaceDE w:val="0"/>
        <w:autoSpaceDN w:val="0"/>
        <w:adjustRightInd w:val="0"/>
        <w:spacing w:line="360" w:lineRule="auto"/>
        <w:ind w:firstLine="420" w:firstLineChars="200"/>
        <w:rPr>
          <w:rFonts w:hint="eastAsia"/>
          <w:szCs w:val="21"/>
        </w:rPr>
      </w:pPr>
      <w:r>
        <w:rPr>
          <w:rFonts w:hint="eastAsia"/>
          <w:szCs w:val="21"/>
        </w:rPr>
        <w:t>本人</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（投标人名称）的法定代表人，现委托</w:t>
      </w:r>
      <w:r>
        <w:rPr>
          <w:rFonts w:hint="eastAsia"/>
          <w:szCs w:val="21"/>
          <w:u w:val="single"/>
        </w:rPr>
        <w:t xml:space="preserve">                 </w:t>
      </w:r>
      <w:r>
        <w:rPr>
          <w:rFonts w:hint="eastAsia"/>
          <w:szCs w:val="21"/>
        </w:rPr>
        <w:t>（姓名、职务）为我方代理人。</w:t>
      </w:r>
      <w:r>
        <w:rPr>
          <w:rFonts w:hint="eastAsia"/>
          <w:kern w:val="0"/>
          <w:position w:val="-2"/>
          <w:szCs w:val="21"/>
        </w:rPr>
        <w:t>代理</w:t>
      </w:r>
      <w:r>
        <w:rPr>
          <w:rFonts w:hint="eastAsia"/>
          <w:spacing w:val="-2"/>
          <w:kern w:val="0"/>
          <w:position w:val="-2"/>
          <w:szCs w:val="21"/>
        </w:rPr>
        <w:t>人</w:t>
      </w:r>
      <w:r>
        <w:rPr>
          <w:rFonts w:hint="eastAsia"/>
          <w:kern w:val="0"/>
          <w:position w:val="-2"/>
          <w:szCs w:val="21"/>
        </w:rPr>
        <w:t>根据授权，</w:t>
      </w:r>
      <w:r>
        <w:rPr>
          <w:rFonts w:hint="eastAsia"/>
          <w:spacing w:val="-2"/>
          <w:kern w:val="0"/>
          <w:position w:val="-2"/>
          <w:szCs w:val="21"/>
        </w:rPr>
        <w:t>以</w:t>
      </w:r>
      <w:r>
        <w:rPr>
          <w:rFonts w:hint="eastAsia"/>
          <w:kern w:val="0"/>
          <w:position w:val="-2"/>
          <w:szCs w:val="21"/>
        </w:rPr>
        <w:t>我方名</w:t>
      </w:r>
      <w:r>
        <w:rPr>
          <w:rFonts w:hint="eastAsia"/>
          <w:szCs w:val="21"/>
        </w:rPr>
        <w:t>义签署、澄清确认、递交、撤回、修改</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rPr>
        <w:t>（项目名称）投标文件、签订合同和处理有关事宜，其法律后果由我方承担。</w:t>
      </w:r>
    </w:p>
    <w:p w14:paraId="451644A6">
      <w:pPr>
        <w:spacing w:line="360" w:lineRule="auto"/>
        <w:ind w:firstLine="420" w:firstLineChars="200"/>
        <w:rPr>
          <w:rFonts w:hint="eastAsia"/>
          <w:szCs w:val="21"/>
          <w:u w:val="single"/>
        </w:rPr>
      </w:pPr>
      <w:r>
        <w:rPr>
          <w:rFonts w:hint="eastAsia"/>
          <w:szCs w:val="21"/>
        </w:rPr>
        <w:t>委托期限：</w:t>
      </w:r>
      <w:r>
        <w:rPr>
          <w:rFonts w:hint="eastAsia"/>
          <w:b/>
          <w:bCs/>
          <w:u w:val="single"/>
        </w:rPr>
        <w:t xml:space="preserve">                          </w:t>
      </w:r>
      <w:r>
        <w:rPr>
          <w:rFonts w:hint="eastAsia"/>
        </w:rPr>
        <w:t>。</w:t>
      </w:r>
    </w:p>
    <w:p w14:paraId="0254618F">
      <w:pPr>
        <w:spacing w:line="360" w:lineRule="auto"/>
        <w:ind w:firstLine="420" w:firstLineChars="200"/>
        <w:rPr>
          <w:rFonts w:hint="eastAsia"/>
          <w:szCs w:val="21"/>
        </w:rPr>
      </w:pPr>
      <w:r>
        <w:rPr>
          <w:rFonts w:hint="eastAsia"/>
          <w:szCs w:val="21"/>
        </w:rPr>
        <w:t>代理人无转委托权。</w:t>
      </w:r>
    </w:p>
    <w:p w14:paraId="7A2F68D6">
      <w:pPr>
        <w:spacing w:line="360" w:lineRule="auto"/>
        <w:ind w:firstLine="420" w:firstLineChars="200"/>
        <w:rPr>
          <w:rFonts w:hint="eastAsia"/>
          <w:szCs w:val="21"/>
        </w:rPr>
      </w:pPr>
      <w:r>
        <w:rPr>
          <w:rFonts w:hint="eastAsia"/>
          <w:szCs w:val="21"/>
        </w:rPr>
        <w:t>附：</w:t>
      </w:r>
      <w:r>
        <w:rPr>
          <w:rFonts w:hint="eastAsia"/>
          <w:spacing w:val="-2"/>
          <w:kern w:val="0"/>
          <w:szCs w:val="21"/>
        </w:rPr>
        <w:t>法</w:t>
      </w:r>
      <w:r>
        <w:rPr>
          <w:rFonts w:hint="eastAsia"/>
          <w:kern w:val="0"/>
          <w:szCs w:val="21"/>
        </w:rPr>
        <w:t>定</w:t>
      </w:r>
      <w:r>
        <w:rPr>
          <w:rFonts w:hint="eastAsia"/>
          <w:spacing w:val="-2"/>
          <w:kern w:val="0"/>
          <w:szCs w:val="21"/>
        </w:rPr>
        <w:t>代</w:t>
      </w:r>
      <w:r>
        <w:rPr>
          <w:rFonts w:hint="eastAsia"/>
          <w:kern w:val="0"/>
          <w:szCs w:val="21"/>
        </w:rPr>
        <w:t>表</w:t>
      </w:r>
      <w:r>
        <w:rPr>
          <w:rFonts w:hint="eastAsia"/>
          <w:spacing w:val="-2"/>
          <w:kern w:val="0"/>
          <w:szCs w:val="21"/>
        </w:rPr>
        <w:t>人</w:t>
      </w:r>
      <w:r>
        <w:rPr>
          <w:rFonts w:hint="eastAsia"/>
          <w:kern w:val="0"/>
          <w:szCs w:val="21"/>
        </w:rPr>
        <w:t>身</w:t>
      </w:r>
      <w:r>
        <w:rPr>
          <w:rFonts w:hint="eastAsia"/>
          <w:spacing w:val="-2"/>
          <w:kern w:val="0"/>
          <w:szCs w:val="21"/>
        </w:rPr>
        <w:t>份</w:t>
      </w:r>
      <w:r>
        <w:rPr>
          <w:rFonts w:hint="eastAsia"/>
          <w:kern w:val="0"/>
          <w:szCs w:val="21"/>
        </w:rPr>
        <w:t>证</w:t>
      </w:r>
      <w:r>
        <w:rPr>
          <w:rFonts w:hint="eastAsia"/>
          <w:spacing w:val="-2"/>
          <w:kern w:val="0"/>
          <w:szCs w:val="21"/>
        </w:rPr>
        <w:t>复印件或扫描件及</w:t>
      </w:r>
      <w:r>
        <w:rPr>
          <w:rFonts w:hint="eastAsia"/>
          <w:kern w:val="0"/>
          <w:szCs w:val="21"/>
        </w:rPr>
        <w:t>委</w:t>
      </w:r>
      <w:bookmarkStart w:id="867" w:name="_GoBack"/>
      <w:bookmarkEnd w:id="867"/>
      <w:r>
        <w:rPr>
          <w:rFonts w:hint="eastAsia"/>
          <w:spacing w:val="-2"/>
          <w:kern w:val="0"/>
          <w:szCs w:val="21"/>
        </w:rPr>
        <w:t>托</w:t>
      </w:r>
      <w:r>
        <w:rPr>
          <w:rFonts w:hint="eastAsia"/>
          <w:kern w:val="0"/>
          <w:szCs w:val="21"/>
        </w:rPr>
        <w:t>代</w:t>
      </w:r>
      <w:r>
        <w:rPr>
          <w:rFonts w:hint="eastAsia"/>
          <w:spacing w:val="-2"/>
          <w:kern w:val="0"/>
          <w:szCs w:val="21"/>
        </w:rPr>
        <w:t>理</w:t>
      </w:r>
      <w:r>
        <w:rPr>
          <w:rFonts w:hint="eastAsia"/>
          <w:kern w:val="0"/>
          <w:szCs w:val="21"/>
        </w:rPr>
        <w:t>人</w:t>
      </w:r>
      <w:r>
        <w:rPr>
          <w:rFonts w:hint="eastAsia"/>
          <w:spacing w:val="-2"/>
          <w:kern w:val="0"/>
          <w:szCs w:val="21"/>
        </w:rPr>
        <w:t>身</w:t>
      </w:r>
      <w:r>
        <w:rPr>
          <w:rFonts w:hint="eastAsia"/>
          <w:kern w:val="0"/>
          <w:szCs w:val="21"/>
        </w:rPr>
        <w:t>份</w:t>
      </w:r>
      <w:r>
        <w:rPr>
          <w:rFonts w:hint="eastAsia"/>
          <w:spacing w:val="-2"/>
          <w:kern w:val="0"/>
          <w:szCs w:val="21"/>
        </w:rPr>
        <w:t>证</w:t>
      </w:r>
      <w:r>
        <w:rPr>
          <w:rFonts w:hint="eastAsia"/>
          <w:kern w:val="0"/>
          <w:szCs w:val="21"/>
        </w:rPr>
        <w:t>复印件或扫描件</w:t>
      </w:r>
    </w:p>
    <w:p w14:paraId="07D5DB4D">
      <w:pPr>
        <w:spacing w:line="360" w:lineRule="auto"/>
        <w:rPr>
          <w:rFonts w:hint="eastAsia"/>
          <w:szCs w:val="21"/>
        </w:rPr>
      </w:pPr>
    </w:p>
    <w:p w14:paraId="324ABF43">
      <w:pPr>
        <w:spacing w:line="360" w:lineRule="auto"/>
        <w:ind w:firstLine="2940" w:firstLineChars="1400"/>
        <w:rPr>
          <w:rFonts w:hint="eastAsia"/>
          <w:szCs w:val="21"/>
        </w:rPr>
      </w:pPr>
      <w:r>
        <w:rPr>
          <w:rFonts w:hint="eastAsia"/>
          <w:szCs w:val="21"/>
        </w:rPr>
        <w:t>投标人：</w:t>
      </w:r>
      <w:r>
        <w:rPr>
          <w:rFonts w:hint="eastAsia"/>
          <w:szCs w:val="21"/>
          <w:u w:val="single"/>
        </w:rPr>
        <w:t xml:space="preserve">                          </w:t>
      </w:r>
      <w:r>
        <w:rPr>
          <w:rFonts w:hint="eastAsia"/>
          <w:szCs w:val="21"/>
        </w:rPr>
        <w:t>（盖章）</w:t>
      </w:r>
    </w:p>
    <w:p w14:paraId="78984035">
      <w:pPr>
        <w:pStyle w:val="29"/>
        <w:spacing w:line="360" w:lineRule="auto"/>
        <w:ind w:firstLine="2940" w:firstLineChars="1400"/>
        <w:rPr>
          <w:rFonts w:hint="eastAsia"/>
          <w:color w:val="auto"/>
          <w:kern w:val="2"/>
          <w:sz w:val="21"/>
          <w:szCs w:val="21"/>
        </w:rPr>
      </w:pPr>
      <w:r>
        <w:rPr>
          <w:rFonts w:hint="eastAsia"/>
          <w:color w:val="auto"/>
          <w:kern w:val="2"/>
          <w:sz w:val="21"/>
          <w:szCs w:val="21"/>
        </w:rPr>
        <w:t>法定代表人：</w:t>
      </w:r>
      <w:r>
        <w:rPr>
          <w:rFonts w:hint="eastAsia"/>
          <w:color w:val="auto"/>
          <w:szCs w:val="21"/>
          <w:u w:val="single"/>
        </w:rPr>
        <w:t xml:space="preserve">                   </w:t>
      </w:r>
      <w:r>
        <w:rPr>
          <w:rFonts w:hint="eastAsia"/>
          <w:color w:val="auto"/>
          <w:kern w:val="2"/>
          <w:sz w:val="21"/>
          <w:szCs w:val="21"/>
        </w:rPr>
        <w:t>（签字或盖章）</w:t>
      </w:r>
    </w:p>
    <w:p w14:paraId="03E42D6A">
      <w:pPr>
        <w:pStyle w:val="29"/>
        <w:spacing w:line="360" w:lineRule="auto"/>
        <w:ind w:firstLine="2940" w:firstLineChars="1400"/>
        <w:rPr>
          <w:rFonts w:hint="eastAsia"/>
          <w:color w:val="auto"/>
          <w:kern w:val="2"/>
          <w:sz w:val="21"/>
          <w:szCs w:val="21"/>
        </w:rPr>
      </w:pPr>
      <w:r>
        <w:rPr>
          <w:rFonts w:hint="eastAsia"/>
          <w:color w:val="auto"/>
          <w:kern w:val="2"/>
          <w:sz w:val="21"/>
          <w:szCs w:val="21"/>
        </w:rPr>
        <w:t>身份证号：</w:t>
      </w:r>
      <w:r>
        <w:rPr>
          <w:rFonts w:hint="eastAsia"/>
          <w:color w:val="auto"/>
          <w:kern w:val="2"/>
          <w:sz w:val="21"/>
          <w:szCs w:val="21"/>
          <w:u w:val="single"/>
        </w:rPr>
        <w:t xml:space="preserve">                        </w:t>
      </w:r>
    </w:p>
    <w:p w14:paraId="63AEEE3B">
      <w:pPr>
        <w:spacing w:line="360" w:lineRule="auto"/>
        <w:ind w:firstLine="2940" w:firstLineChars="1400"/>
        <w:rPr>
          <w:rFonts w:hint="eastAsia"/>
          <w:szCs w:val="21"/>
        </w:rPr>
      </w:pPr>
      <w:r>
        <w:rPr>
          <w:rFonts w:hint="eastAsia"/>
          <w:szCs w:val="21"/>
        </w:rPr>
        <w:t>委托代理人：</w:t>
      </w:r>
      <w:r>
        <w:rPr>
          <w:rFonts w:hint="eastAsia"/>
          <w:szCs w:val="21"/>
          <w:u w:val="single"/>
        </w:rPr>
        <w:t xml:space="preserve">                      </w:t>
      </w:r>
      <w:r>
        <w:rPr>
          <w:rFonts w:hint="eastAsia"/>
          <w:szCs w:val="21"/>
        </w:rPr>
        <w:t>（签字或盖章）</w:t>
      </w:r>
    </w:p>
    <w:p w14:paraId="48F64C83">
      <w:pPr>
        <w:spacing w:line="360" w:lineRule="auto"/>
        <w:ind w:firstLine="2940" w:firstLineChars="1400"/>
        <w:rPr>
          <w:rFonts w:hint="eastAsia"/>
          <w:szCs w:val="21"/>
        </w:rPr>
      </w:pPr>
      <w:r>
        <w:rPr>
          <w:rFonts w:hint="eastAsia"/>
          <w:szCs w:val="21"/>
        </w:rPr>
        <w:t>身份证号：</w:t>
      </w:r>
      <w:r>
        <w:rPr>
          <w:rFonts w:hint="eastAsia"/>
          <w:szCs w:val="21"/>
          <w:u w:val="single"/>
        </w:rPr>
        <w:t xml:space="preserve">                       </w:t>
      </w:r>
      <w:r>
        <w:rPr>
          <w:rFonts w:hint="eastAsia"/>
          <w:u w:val="single"/>
        </w:rPr>
        <w:t xml:space="preserve"> </w:t>
      </w:r>
      <w:r>
        <w:rPr>
          <w:rFonts w:hint="eastAsia"/>
          <w:szCs w:val="21"/>
        </w:rPr>
        <w:t xml:space="preserve"> </w:t>
      </w:r>
    </w:p>
    <w:p w14:paraId="2BE219D4">
      <w:pPr>
        <w:tabs>
          <w:tab w:val="left" w:pos="5380"/>
          <w:tab w:val="left" w:pos="6520"/>
          <w:tab w:val="left" w:pos="7680"/>
        </w:tabs>
        <w:autoSpaceDE w:val="0"/>
        <w:autoSpaceDN w:val="0"/>
        <w:adjustRightInd w:val="0"/>
        <w:spacing w:line="360" w:lineRule="auto"/>
        <w:ind w:right="-20" w:firstLine="3780" w:firstLineChars="1800"/>
        <w:jc w:val="left"/>
        <w:rPr>
          <w:rFonts w:hint="eastAsia"/>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1C05A47F">
      <w:pPr>
        <w:spacing w:line="360" w:lineRule="auto"/>
        <w:rPr>
          <w:rFonts w:hint="eastAsia"/>
          <w:b/>
          <w:sz w:val="24"/>
        </w:rPr>
      </w:pPr>
    </w:p>
    <w:p w14:paraId="1F8464BF">
      <w:pPr>
        <w:pStyle w:val="3"/>
        <w:tabs>
          <w:tab w:val="left" w:pos="840"/>
        </w:tabs>
        <w:jc w:val="center"/>
        <w:rPr>
          <w:rFonts w:hint="eastAsia" w:ascii="宋体" w:hAnsi="宋体"/>
          <w:szCs w:val="24"/>
        </w:rPr>
      </w:pPr>
      <w:bookmarkStart w:id="792" w:name="_Toc20920"/>
      <w:r>
        <w:rPr>
          <w:rFonts w:hint="eastAsia" w:ascii="宋体" w:hAnsi="宋体"/>
          <w:szCs w:val="24"/>
        </w:rPr>
        <w:br w:type="page"/>
      </w:r>
      <w:bookmarkStart w:id="793" w:name="_Toc9029"/>
      <w:r>
        <w:rPr>
          <w:rFonts w:hint="eastAsia" w:ascii="宋体" w:hAnsi="宋体"/>
          <w:szCs w:val="24"/>
        </w:rPr>
        <w:t>三、投标书</w:t>
      </w:r>
      <w:bookmarkEnd w:id="792"/>
      <w:bookmarkEnd w:id="793"/>
    </w:p>
    <w:p w14:paraId="3519A73D">
      <w:pPr>
        <w:spacing w:line="360" w:lineRule="auto"/>
        <w:rPr>
          <w:rFonts w:hint="eastAsia"/>
          <w:szCs w:val="21"/>
        </w:rPr>
      </w:pPr>
      <w:r>
        <w:rPr>
          <w:rFonts w:hint="eastAsia"/>
          <w:szCs w:val="21"/>
        </w:rPr>
        <w:t>致：（</w:t>
      </w:r>
      <w:r>
        <w:rPr>
          <w:rFonts w:hint="eastAsia"/>
          <w:szCs w:val="21"/>
          <w:u w:val="single"/>
        </w:rPr>
        <w:t>采购人或采购代理机构名称</w:t>
      </w:r>
      <w:r>
        <w:rPr>
          <w:rFonts w:hint="eastAsia"/>
          <w:szCs w:val="21"/>
        </w:rPr>
        <w:t>）</w:t>
      </w:r>
    </w:p>
    <w:p w14:paraId="34319D50">
      <w:pPr>
        <w:pStyle w:val="14"/>
        <w:numPr>
          <w:ilvl w:val="0"/>
          <w:numId w:val="28"/>
        </w:numPr>
        <w:tabs>
          <w:tab w:val="left" w:pos="0"/>
        </w:tabs>
        <w:spacing w:after="0" w:line="360" w:lineRule="auto"/>
        <w:ind w:left="-210" w:firstLine="420"/>
        <w:jc w:val="left"/>
        <w:rPr>
          <w:rFonts w:hint="eastAsia" w:eastAsia="宋体"/>
          <w:sz w:val="21"/>
          <w:szCs w:val="21"/>
        </w:rPr>
      </w:pPr>
      <w:r>
        <w:rPr>
          <w:rFonts w:hint="eastAsia" w:eastAsia="宋体"/>
          <w:sz w:val="21"/>
          <w:szCs w:val="21"/>
        </w:rPr>
        <w:t>我方已仔细研究了</w:t>
      </w:r>
      <w:r>
        <w:rPr>
          <w:rFonts w:hint="eastAsia" w:eastAsia="宋体"/>
          <w:sz w:val="21"/>
          <w:szCs w:val="21"/>
          <w:u w:val="single"/>
        </w:rPr>
        <w:t xml:space="preserve"> </w:t>
      </w:r>
      <w:r>
        <w:rPr>
          <w:rFonts w:hint="eastAsia" w:eastAsia="宋体"/>
          <w:sz w:val="21"/>
          <w:szCs w:val="21"/>
          <w:u w:val="single"/>
        </w:rPr>
        <w:tab/>
      </w:r>
      <w:r>
        <w:rPr>
          <w:rFonts w:hint="eastAsia" w:eastAsia="宋体"/>
          <w:sz w:val="21"/>
          <w:szCs w:val="21"/>
          <w:u w:val="single"/>
        </w:rPr>
        <w:t xml:space="preserve">      </w:t>
      </w:r>
      <w:r>
        <w:rPr>
          <w:rFonts w:hint="eastAsia" w:eastAsia="宋体"/>
          <w:sz w:val="21"/>
          <w:szCs w:val="21"/>
        </w:rPr>
        <w:t>（项目名称）招标项目招标文件的全部内容，愿意以人民币（大写）</w:t>
      </w:r>
      <w:r>
        <w:rPr>
          <w:rFonts w:hint="eastAsia" w:eastAsia="宋体"/>
          <w:sz w:val="21"/>
          <w:szCs w:val="21"/>
          <w:u w:val="single"/>
        </w:rPr>
        <w:t xml:space="preserve">      </w:t>
      </w:r>
      <w:r>
        <w:rPr>
          <w:rFonts w:hint="eastAsia" w:eastAsia="宋体"/>
          <w:sz w:val="21"/>
          <w:szCs w:val="21"/>
        </w:rPr>
        <w:t>（小写：¥</w:t>
      </w:r>
      <w:r>
        <w:rPr>
          <w:rFonts w:hint="eastAsia" w:eastAsia="宋体"/>
          <w:sz w:val="21"/>
          <w:szCs w:val="21"/>
          <w:u w:val="single"/>
        </w:rPr>
        <w:t xml:space="preserve">          </w:t>
      </w:r>
      <w:r>
        <w:rPr>
          <w:rFonts w:hint="eastAsia" w:eastAsia="宋体"/>
          <w:sz w:val="21"/>
          <w:szCs w:val="21"/>
        </w:rPr>
        <w:t>元）的投标总报价，服务时间：</w:t>
      </w:r>
      <w:r>
        <w:rPr>
          <w:rFonts w:hint="eastAsia" w:eastAsia="宋体"/>
          <w:sz w:val="21"/>
          <w:szCs w:val="21"/>
          <w:u w:val="single"/>
        </w:rPr>
        <w:t xml:space="preserve">       </w:t>
      </w:r>
      <w:r>
        <w:rPr>
          <w:rFonts w:hint="eastAsia" w:eastAsia="宋体"/>
          <w:sz w:val="21"/>
          <w:szCs w:val="21"/>
        </w:rPr>
        <w:t xml:space="preserve"> ，按合同约定完成全部工作。</w:t>
      </w:r>
    </w:p>
    <w:p w14:paraId="6E6CCAD8">
      <w:pPr>
        <w:pStyle w:val="14"/>
        <w:numPr>
          <w:ilvl w:val="0"/>
          <w:numId w:val="28"/>
        </w:numPr>
        <w:tabs>
          <w:tab w:val="left" w:pos="0"/>
        </w:tabs>
        <w:spacing w:after="0" w:line="360" w:lineRule="auto"/>
        <w:ind w:left="-210" w:firstLine="420"/>
        <w:jc w:val="left"/>
        <w:rPr>
          <w:rFonts w:hint="eastAsia" w:eastAsia="宋体"/>
          <w:sz w:val="21"/>
          <w:szCs w:val="21"/>
        </w:rPr>
      </w:pPr>
      <w:r>
        <w:rPr>
          <w:rFonts w:hint="eastAsia" w:eastAsia="宋体"/>
          <w:sz w:val="21"/>
          <w:szCs w:val="21"/>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5EAEB6EE">
      <w:pPr>
        <w:pStyle w:val="14"/>
        <w:numPr>
          <w:ilvl w:val="0"/>
          <w:numId w:val="28"/>
        </w:numPr>
        <w:tabs>
          <w:tab w:val="left" w:pos="720"/>
        </w:tabs>
        <w:spacing w:after="0" w:line="360" w:lineRule="auto"/>
        <w:ind w:left="-210" w:firstLine="420"/>
        <w:rPr>
          <w:rFonts w:hint="eastAsia" w:eastAsia="宋体"/>
          <w:sz w:val="21"/>
          <w:szCs w:val="21"/>
        </w:rPr>
      </w:pPr>
      <w:r>
        <w:rPr>
          <w:rFonts w:hint="eastAsia" w:eastAsia="宋体"/>
          <w:sz w:val="21"/>
          <w:szCs w:val="21"/>
        </w:rPr>
        <w:t>我方已详细审查全部招标文件，包括修改文件以及全部参考资料和有关附件。我们完全理解并同意放弃对这方面有不明及误解的权力。</w:t>
      </w:r>
    </w:p>
    <w:p w14:paraId="6FACA90A">
      <w:pPr>
        <w:pStyle w:val="14"/>
        <w:numPr>
          <w:ilvl w:val="0"/>
          <w:numId w:val="28"/>
        </w:numPr>
        <w:tabs>
          <w:tab w:val="left" w:pos="720"/>
        </w:tabs>
        <w:spacing w:after="0" w:line="360" w:lineRule="auto"/>
        <w:ind w:left="-210" w:firstLine="420"/>
        <w:rPr>
          <w:rFonts w:hint="eastAsia" w:eastAsia="宋体"/>
          <w:sz w:val="21"/>
          <w:szCs w:val="21"/>
        </w:rPr>
      </w:pPr>
      <w:r>
        <w:rPr>
          <w:rFonts w:hint="eastAsia" w:eastAsia="宋体"/>
          <w:sz w:val="21"/>
          <w:szCs w:val="21"/>
        </w:rPr>
        <w:t>投标有效期为提交投标文件的截止之日起</w:t>
      </w:r>
      <w:r>
        <w:rPr>
          <w:rFonts w:hint="eastAsia" w:eastAsia="宋体"/>
          <w:sz w:val="21"/>
          <w:szCs w:val="21"/>
          <w:u w:val="single"/>
        </w:rPr>
        <w:t xml:space="preserve"> 90</w:t>
      </w:r>
      <w:r>
        <w:rPr>
          <w:rFonts w:hint="eastAsia" w:eastAsia="宋体"/>
          <w:sz w:val="21"/>
          <w:szCs w:val="21"/>
        </w:rPr>
        <w:t>日历天。</w:t>
      </w:r>
    </w:p>
    <w:p w14:paraId="4DDDEA01">
      <w:pPr>
        <w:pStyle w:val="14"/>
        <w:numPr>
          <w:ilvl w:val="0"/>
          <w:numId w:val="28"/>
        </w:numPr>
        <w:tabs>
          <w:tab w:val="left" w:pos="720"/>
        </w:tabs>
        <w:spacing w:after="0" w:line="360" w:lineRule="auto"/>
        <w:ind w:left="-210" w:firstLine="420"/>
        <w:rPr>
          <w:rFonts w:hint="eastAsia" w:eastAsia="宋体"/>
          <w:sz w:val="21"/>
          <w:szCs w:val="21"/>
        </w:rPr>
      </w:pPr>
      <w:r>
        <w:rPr>
          <w:rFonts w:hint="eastAsia" w:eastAsia="宋体"/>
          <w:sz w:val="21"/>
          <w:szCs w:val="21"/>
        </w:rPr>
        <w:t>我方在此声明，所递交的投标文件及有关资料内容完整、真实和准确，且不存在第二章“投标人须知”第1.2.12、1.2.13项规定的任何一种情形。</w:t>
      </w:r>
    </w:p>
    <w:p w14:paraId="55670E7D">
      <w:pPr>
        <w:pStyle w:val="14"/>
        <w:numPr>
          <w:ilvl w:val="0"/>
          <w:numId w:val="28"/>
        </w:numPr>
        <w:tabs>
          <w:tab w:val="left" w:pos="720"/>
        </w:tabs>
        <w:spacing w:after="0" w:line="360" w:lineRule="auto"/>
        <w:ind w:left="-210" w:firstLine="420"/>
        <w:rPr>
          <w:rFonts w:hint="eastAsia" w:eastAsia="宋体"/>
          <w:sz w:val="21"/>
          <w:szCs w:val="21"/>
        </w:rPr>
      </w:pPr>
      <w:r>
        <w:rPr>
          <w:rFonts w:hint="eastAsia" w:eastAsia="宋体"/>
          <w:sz w:val="21"/>
          <w:szCs w:val="21"/>
        </w:rPr>
        <w:t>我方同意提供按照贵方可能要求的与其投标有关的一切数据或资料，完全理解贵方不一定接受最低价的投标或收到的任何投标。</w:t>
      </w:r>
    </w:p>
    <w:p w14:paraId="6DA3C15A">
      <w:pPr>
        <w:pStyle w:val="14"/>
        <w:numPr>
          <w:ilvl w:val="0"/>
          <w:numId w:val="28"/>
        </w:numPr>
        <w:tabs>
          <w:tab w:val="left" w:pos="720"/>
        </w:tabs>
        <w:spacing w:after="0" w:line="360" w:lineRule="auto"/>
        <w:ind w:left="-210" w:firstLine="420"/>
        <w:rPr>
          <w:rFonts w:hint="eastAsia" w:eastAsia="宋体"/>
          <w:szCs w:val="21"/>
        </w:rPr>
      </w:pPr>
      <w:r>
        <w:rPr>
          <w:rFonts w:hint="eastAsia" w:eastAsia="宋体"/>
          <w:sz w:val="21"/>
          <w:szCs w:val="21"/>
        </w:rPr>
        <w:t>我方承诺，如果我方中标，在收到中标通知书时，保证按照招标文件约定的招标代理费的收费标准，足额、准时交纳招标代理服务费。</w:t>
      </w:r>
    </w:p>
    <w:p w14:paraId="3E3D81C5">
      <w:pPr>
        <w:tabs>
          <w:tab w:val="left" w:pos="7240"/>
        </w:tabs>
        <w:autoSpaceDE w:val="0"/>
        <w:autoSpaceDN w:val="0"/>
        <w:adjustRightInd w:val="0"/>
        <w:spacing w:line="360" w:lineRule="auto"/>
        <w:ind w:left="2621" w:right="-23"/>
        <w:rPr>
          <w:rFonts w:hint="eastAsia"/>
          <w:kern w:val="0"/>
          <w:szCs w:val="21"/>
        </w:rPr>
      </w:pPr>
      <w:r>
        <w:rPr>
          <w:rFonts w:hint="eastAsia"/>
          <w:kern w:val="0"/>
          <w:szCs w:val="21"/>
        </w:rPr>
        <w:t>投标人</w:t>
      </w:r>
      <w:r>
        <w:rPr>
          <w:rFonts w:hint="eastAsia"/>
          <w:spacing w:val="-2"/>
          <w:kern w:val="0"/>
          <w:szCs w:val="21"/>
        </w:rPr>
        <w:t>：</w:t>
      </w:r>
      <w:r>
        <w:rPr>
          <w:rFonts w:hint="eastAsia"/>
          <w:spacing w:val="43"/>
          <w:kern w:val="0"/>
          <w:szCs w:val="21"/>
          <w:u w:val="single"/>
        </w:rPr>
        <w:t xml:space="preserve">                    </w:t>
      </w:r>
      <w:r>
        <w:rPr>
          <w:rFonts w:hint="eastAsia"/>
          <w:kern w:val="0"/>
          <w:szCs w:val="21"/>
        </w:rPr>
        <w:t>（盖章）</w:t>
      </w:r>
    </w:p>
    <w:p w14:paraId="58A847F1">
      <w:pPr>
        <w:tabs>
          <w:tab w:val="left" w:pos="3220"/>
          <w:tab w:val="left" w:pos="8480"/>
        </w:tabs>
        <w:autoSpaceDE w:val="0"/>
        <w:autoSpaceDN w:val="0"/>
        <w:adjustRightInd w:val="0"/>
        <w:spacing w:line="360" w:lineRule="auto"/>
        <w:ind w:left="2601" w:right="-23"/>
        <w:rPr>
          <w:rFonts w:hint="eastAsia"/>
          <w:kern w:val="0"/>
          <w:position w:val="-2"/>
          <w:szCs w:val="21"/>
        </w:rPr>
      </w:pPr>
      <w:r>
        <w:rPr>
          <w:rFonts w:hint="eastAsia"/>
          <w:kern w:val="0"/>
          <w:position w:val="-2"/>
          <w:szCs w:val="21"/>
        </w:rPr>
        <w:t>法定代表人或其委托代理人：</w:t>
      </w:r>
      <w:r>
        <w:rPr>
          <w:rFonts w:hint="eastAsia"/>
          <w:kern w:val="0"/>
          <w:position w:val="-2"/>
          <w:szCs w:val="21"/>
          <w:u w:val="single"/>
        </w:rPr>
        <w:t xml:space="preserve">                </w:t>
      </w:r>
      <w:r>
        <w:rPr>
          <w:rFonts w:hint="eastAsia"/>
          <w:kern w:val="0"/>
          <w:position w:val="-2"/>
          <w:szCs w:val="21"/>
        </w:rPr>
        <w:t>（签字或盖章）</w:t>
      </w:r>
    </w:p>
    <w:p w14:paraId="4ADCDF89">
      <w:pPr>
        <w:tabs>
          <w:tab w:val="left" w:pos="3220"/>
          <w:tab w:val="left" w:pos="8480"/>
        </w:tabs>
        <w:autoSpaceDE w:val="0"/>
        <w:autoSpaceDN w:val="0"/>
        <w:adjustRightInd w:val="0"/>
        <w:spacing w:line="360" w:lineRule="auto"/>
        <w:ind w:left="2601" w:right="-23"/>
        <w:rPr>
          <w:rFonts w:hint="eastAsia"/>
          <w:kern w:val="0"/>
          <w:szCs w:val="21"/>
          <w:u w:val="single"/>
        </w:rPr>
      </w:pPr>
      <w:r>
        <w:rPr>
          <w:rFonts w:hint="eastAsia"/>
          <w:kern w:val="0"/>
          <w:position w:val="-2"/>
          <w:szCs w:val="21"/>
        </w:rPr>
        <w:t>地</w:t>
      </w:r>
      <w:r>
        <w:rPr>
          <w:rFonts w:hint="eastAsia"/>
          <w:kern w:val="0"/>
          <w:position w:val="-2"/>
          <w:szCs w:val="21"/>
        </w:rPr>
        <w:tab/>
      </w:r>
      <w:r>
        <w:rPr>
          <w:rFonts w:hint="eastAsia"/>
          <w:kern w:val="0"/>
          <w:position w:val="-2"/>
          <w:szCs w:val="21"/>
        </w:rPr>
        <w:t>址</w:t>
      </w:r>
      <w:r>
        <w:rPr>
          <w:rFonts w:hint="eastAsia"/>
          <w:spacing w:val="-2"/>
          <w:kern w:val="0"/>
          <w:position w:val="-2"/>
          <w:szCs w:val="21"/>
        </w:rPr>
        <w:t>：</w:t>
      </w:r>
      <w:r>
        <w:rPr>
          <w:rFonts w:hint="eastAsia"/>
          <w:kern w:val="0"/>
          <w:szCs w:val="21"/>
          <w:u w:val="single"/>
        </w:rPr>
        <w:t xml:space="preserve">                                           </w:t>
      </w:r>
    </w:p>
    <w:p w14:paraId="167875B2">
      <w:pPr>
        <w:tabs>
          <w:tab w:val="left" w:pos="5380"/>
          <w:tab w:val="left" w:pos="6520"/>
          <w:tab w:val="left" w:pos="7680"/>
        </w:tabs>
        <w:autoSpaceDE w:val="0"/>
        <w:autoSpaceDN w:val="0"/>
        <w:adjustRightInd w:val="0"/>
        <w:spacing w:line="360" w:lineRule="auto"/>
        <w:ind w:left="4435" w:right="-23"/>
        <w:rPr>
          <w:rFonts w:hint="eastAsia"/>
          <w:kern w:val="0"/>
          <w:szCs w:val="21"/>
        </w:rPr>
        <w:sectPr>
          <w:pgSz w:w="11906" w:h="16838"/>
          <w:pgMar w:top="1304" w:right="1797" w:bottom="1304" w:left="1797" w:header="851" w:footer="754" w:gutter="0"/>
          <w:cols w:space="720" w:num="1"/>
          <w:docGrid w:type="lines" w:linePitch="312" w:charSpace="0"/>
        </w:sect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2647E8DC">
      <w:pPr>
        <w:pStyle w:val="7"/>
        <w:rPr>
          <w:rFonts w:hint="eastAsia"/>
        </w:rPr>
      </w:pPr>
    </w:p>
    <w:p w14:paraId="2FBD066E">
      <w:pPr>
        <w:pStyle w:val="3"/>
        <w:jc w:val="center"/>
        <w:rPr>
          <w:rFonts w:hint="eastAsia" w:ascii="宋体" w:hAnsi="宋体"/>
          <w:sz w:val="21"/>
          <w:szCs w:val="21"/>
          <w:u w:val="single"/>
        </w:rPr>
      </w:pPr>
      <w:bookmarkStart w:id="794" w:name="_Toc15059"/>
      <w:bookmarkStart w:id="795" w:name="_Toc24809"/>
      <w:bookmarkStart w:id="796" w:name="_Toc312133598"/>
      <w:r>
        <w:rPr>
          <w:rFonts w:hint="eastAsia" w:ascii="宋体" w:hAnsi="宋体"/>
          <w:szCs w:val="24"/>
        </w:rPr>
        <w:t>四、投标承诺函</w:t>
      </w:r>
      <w:bookmarkEnd w:id="794"/>
      <w:bookmarkEnd w:id="795"/>
    </w:p>
    <w:p w14:paraId="01AC80E2">
      <w:pPr>
        <w:jc w:val="center"/>
        <w:rPr>
          <w:rFonts w:hint="eastAsia"/>
          <w:b/>
          <w:bCs/>
          <w:szCs w:val="21"/>
          <w:u w:val="single"/>
        </w:rPr>
      </w:pPr>
    </w:p>
    <w:p w14:paraId="51D90630">
      <w:pPr>
        <w:spacing w:line="360" w:lineRule="auto"/>
        <w:rPr>
          <w:rFonts w:hint="eastAsia"/>
          <w:szCs w:val="21"/>
        </w:rPr>
      </w:pPr>
      <w:r>
        <w:rPr>
          <w:rFonts w:hint="eastAsia"/>
          <w:szCs w:val="21"/>
          <w:u w:val="single"/>
        </w:rPr>
        <w:t xml:space="preserve">                   </w:t>
      </w:r>
      <w:r>
        <w:rPr>
          <w:rFonts w:hint="eastAsia"/>
          <w:szCs w:val="21"/>
        </w:rPr>
        <w:t>（采购人或采购代理机构）：</w:t>
      </w:r>
    </w:p>
    <w:p w14:paraId="0DCF401A">
      <w:pPr>
        <w:pStyle w:val="29"/>
        <w:spacing w:line="360" w:lineRule="auto"/>
        <w:ind w:firstLine="420" w:firstLineChars="200"/>
        <w:rPr>
          <w:rFonts w:hint="eastAsia"/>
          <w:color w:val="auto"/>
          <w:kern w:val="2"/>
          <w:sz w:val="21"/>
          <w:szCs w:val="21"/>
        </w:rPr>
      </w:pPr>
      <w:r>
        <w:rPr>
          <w:rFonts w:hint="eastAsia"/>
          <w:color w:val="auto"/>
          <w:kern w:val="2"/>
          <w:sz w:val="21"/>
          <w:szCs w:val="21"/>
        </w:rPr>
        <w:t>我单位在此郑重承诺，如有以下情形之一的：</w:t>
      </w:r>
    </w:p>
    <w:p w14:paraId="62DAD5B3">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在招标文件规定的投标有效期内撤回投标；</w:t>
      </w:r>
    </w:p>
    <w:p w14:paraId="00450CF9">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在投标文件中提供虚假材料；</w:t>
      </w:r>
    </w:p>
    <w:p w14:paraId="740F50DF">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中标后无正当理由不与采购人或者采购代理机构签订合同；</w:t>
      </w:r>
    </w:p>
    <w:p w14:paraId="0A9E5F7F">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未能按招标文件规定提交履约保证金；</w:t>
      </w:r>
    </w:p>
    <w:p w14:paraId="78C23CF6">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将中标项目转让给他人，或者在投标文件中未说明，且未经采购人同意，将中标项目分包给他人的；</w:t>
      </w:r>
    </w:p>
    <w:p w14:paraId="4EA9A18D">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拒绝履行合同义务；</w:t>
      </w:r>
    </w:p>
    <w:p w14:paraId="5CA7858C">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与采购人、其他投标人或者采购代理机构恶意串通；</w:t>
      </w:r>
    </w:p>
    <w:p w14:paraId="21BB3835">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在履约过程中未按招标文件、中标的投标文件、生效的政府采购合同等约定，提供货物、工程和服务；</w:t>
      </w:r>
    </w:p>
    <w:p w14:paraId="266815C2">
      <w:pPr>
        <w:numPr>
          <w:ilvl w:val="0"/>
          <w:numId w:val="29"/>
        </w:numPr>
        <w:autoSpaceDE w:val="0"/>
        <w:autoSpaceDN w:val="0"/>
        <w:adjustRightInd w:val="0"/>
        <w:spacing w:line="360" w:lineRule="auto"/>
        <w:ind w:left="420" w:leftChars="200" w:right="40"/>
        <w:jc w:val="left"/>
        <w:rPr>
          <w:rFonts w:hint="eastAsia"/>
          <w:kern w:val="0"/>
          <w:szCs w:val="21"/>
        </w:rPr>
      </w:pPr>
      <w:r>
        <w:rPr>
          <w:rFonts w:hint="eastAsia"/>
          <w:kern w:val="0"/>
          <w:szCs w:val="21"/>
        </w:rPr>
        <w:t>存在其他违法违规行为。</w:t>
      </w:r>
    </w:p>
    <w:p w14:paraId="0217786A">
      <w:pPr>
        <w:autoSpaceDE w:val="0"/>
        <w:autoSpaceDN w:val="0"/>
        <w:adjustRightInd w:val="0"/>
        <w:spacing w:line="360" w:lineRule="auto"/>
        <w:ind w:right="40" w:firstLine="420" w:firstLineChars="200"/>
        <w:jc w:val="left"/>
        <w:rPr>
          <w:rFonts w:hint="eastAsia"/>
          <w:szCs w:val="21"/>
        </w:rPr>
      </w:pPr>
      <w:r>
        <w:rPr>
          <w:rFonts w:hint="eastAsia"/>
          <w:kern w:val="0"/>
          <w:szCs w:val="21"/>
        </w:rPr>
        <w:t>我单位</w:t>
      </w:r>
      <w:r>
        <w:rPr>
          <w:rFonts w:hint="eastAsia"/>
          <w:szCs w:val="21"/>
        </w:rPr>
        <w:t>自愿接受被处以中标无效，采购金额千分之五以上千分之十以下的罚款并赔偿采购人及采购代理机构的损失</w:t>
      </w:r>
      <w:r>
        <w:rPr>
          <w:rFonts w:hint="eastAsia"/>
          <w:kern w:val="0"/>
          <w:szCs w:val="21"/>
        </w:rPr>
        <w:t>，</w:t>
      </w:r>
      <w:r>
        <w:rPr>
          <w:rFonts w:hint="eastAsia"/>
          <w:szCs w:val="21"/>
        </w:rPr>
        <w:t>列入不良行为记录名单</w:t>
      </w:r>
      <w:r>
        <w:rPr>
          <w:rFonts w:hint="eastAsia"/>
          <w:kern w:val="0"/>
          <w:szCs w:val="21"/>
        </w:rPr>
        <w:t>，</w:t>
      </w:r>
      <w:r>
        <w:rPr>
          <w:rFonts w:hint="eastAsia"/>
          <w:szCs w:val="21"/>
        </w:rPr>
        <w:t>在一至三年内禁止参加政府采购活动</w:t>
      </w:r>
      <w:r>
        <w:rPr>
          <w:rFonts w:hint="eastAsia"/>
          <w:kern w:val="0"/>
          <w:szCs w:val="21"/>
        </w:rPr>
        <w:t>，</w:t>
      </w:r>
      <w:r>
        <w:rPr>
          <w:rFonts w:hint="eastAsia"/>
          <w:szCs w:val="21"/>
        </w:rPr>
        <w:t>有违法所得的</w:t>
      </w:r>
      <w:r>
        <w:rPr>
          <w:rFonts w:hint="eastAsia"/>
          <w:kern w:val="0"/>
          <w:szCs w:val="21"/>
        </w:rPr>
        <w:t>，</w:t>
      </w:r>
      <w:r>
        <w:rPr>
          <w:rFonts w:hint="eastAsia"/>
          <w:szCs w:val="21"/>
        </w:rPr>
        <w:t>并处没收违法所得，情节严重的，由市场监督管理部门吊销营业执照；构成犯罪的，依法追究刑事责任。</w:t>
      </w:r>
    </w:p>
    <w:p w14:paraId="5973322E">
      <w:pPr>
        <w:pStyle w:val="29"/>
        <w:spacing w:line="360" w:lineRule="auto"/>
        <w:rPr>
          <w:rFonts w:hint="eastAsia"/>
          <w:color w:val="auto"/>
          <w:sz w:val="21"/>
          <w:szCs w:val="21"/>
        </w:rPr>
      </w:pPr>
    </w:p>
    <w:p w14:paraId="3358E6FB">
      <w:pPr>
        <w:pStyle w:val="29"/>
        <w:spacing w:line="360" w:lineRule="auto"/>
        <w:rPr>
          <w:rFonts w:hint="eastAsia"/>
          <w:color w:val="auto"/>
        </w:rPr>
      </w:pPr>
    </w:p>
    <w:p w14:paraId="74A1F49C">
      <w:pPr>
        <w:pStyle w:val="29"/>
        <w:spacing w:line="360" w:lineRule="auto"/>
        <w:rPr>
          <w:rFonts w:hint="eastAsia"/>
          <w:color w:val="auto"/>
          <w:sz w:val="21"/>
          <w:szCs w:val="21"/>
        </w:rPr>
      </w:pPr>
    </w:p>
    <w:p w14:paraId="0432052E">
      <w:pPr>
        <w:spacing w:line="360" w:lineRule="auto"/>
        <w:ind w:firstLine="3360" w:firstLineChars="1600"/>
        <w:rPr>
          <w:rFonts w:hint="eastAsia"/>
          <w:bCs/>
          <w:szCs w:val="21"/>
        </w:rPr>
      </w:pPr>
      <w:r>
        <w:rPr>
          <w:rFonts w:hint="eastAsia"/>
          <w:kern w:val="0"/>
          <w:szCs w:val="21"/>
        </w:rPr>
        <w:t>投 标 人</w:t>
      </w:r>
      <w:r>
        <w:rPr>
          <w:rFonts w:hint="eastAsia"/>
          <w:bCs/>
          <w:szCs w:val="21"/>
        </w:rPr>
        <w:t>：</w:t>
      </w:r>
      <w:r>
        <w:rPr>
          <w:rFonts w:hint="eastAsia"/>
          <w:bCs/>
          <w:szCs w:val="21"/>
          <w:u w:val="single"/>
        </w:rPr>
        <w:t xml:space="preserve">                      </w:t>
      </w:r>
      <w:r>
        <w:rPr>
          <w:rFonts w:hint="eastAsia"/>
          <w:bCs/>
          <w:szCs w:val="21"/>
        </w:rPr>
        <w:t>（盖章）</w:t>
      </w:r>
    </w:p>
    <w:p w14:paraId="0DFD569C">
      <w:pPr>
        <w:spacing w:line="360" w:lineRule="auto"/>
        <w:ind w:firstLine="3360" w:firstLineChars="16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4AF0482F">
      <w:pPr>
        <w:tabs>
          <w:tab w:val="left" w:pos="5380"/>
          <w:tab w:val="left" w:pos="6520"/>
          <w:tab w:val="left" w:pos="7680"/>
        </w:tabs>
        <w:autoSpaceDE w:val="0"/>
        <w:autoSpaceDN w:val="0"/>
        <w:adjustRightInd w:val="0"/>
        <w:spacing w:line="360" w:lineRule="auto"/>
        <w:ind w:right="-23" w:firstLine="4620" w:firstLineChars="22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7F0DFEAC">
      <w:pPr>
        <w:pStyle w:val="29"/>
        <w:spacing w:line="360" w:lineRule="auto"/>
        <w:rPr>
          <w:rFonts w:hint="eastAsia"/>
          <w:color w:val="auto"/>
        </w:rPr>
      </w:pPr>
    </w:p>
    <w:p w14:paraId="56F01740">
      <w:pPr>
        <w:pStyle w:val="3"/>
        <w:tabs>
          <w:tab w:val="left" w:pos="840"/>
        </w:tabs>
        <w:jc w:val="center"/>
        <w:rPr>
          <w:rFonts w:hint="eastAsia" w:ascii="宋体" w:hAnsi="宋体"/>
          <w:szCs w:val="24"/>
        </w:rPr>
      </w:pPr>
      <w:r>
        <w:rPr>
          <w:rFonts w:hint="eastAsia" w:ascii="宋体" w:hAnsi="宋体"/>
          <w:szCs w:val="24"/>
        </w:rPr>
        <w:br w:type="page"/>
      </w:r>
      <w:bookmarkStart w:id="797" w:name="_Toc28367"/>
      <w:bookmarkStart w:id="798" w:name="_Toc1547"/>
      <w:r>
        <w:rPr>
          <w:rFonts w:hint="eastAsia" w:ascii="宋体" w:hAnsi="宋体"/>
          <w:szCs w:val="24"/>
        </w:rPr>
        <w:t>五、投标报价表格</w:t>
      </w:r>
      <w:bookmarkEnd w:id="796"/>
      <w:bookmarkEnd w:id="797"/>
      <w:bookmarkEnd w:id="798"/>
    </w:p>
    <w:p w14:paraId="53B8DB60">
      <w:pPr>
        <w:pStyle w:val="4"/>
        <w:numPr>
          <w:ilvl w:val="0"/>
          <w:numId w:val="30"/>
        </w:numPr>
        <w:jc w:val="center"/>
        <w:rPr>
          <w:rFonts w:hint="eastAsia"/>
        </w:rPr>
      </w:pPr>
      <w:bookmarkStart w:id="799" w:name="_Toc495304002"/>
      <w:bookmarkStart w:id="800" w:name="_Toc2875"/>
      <w:bookmarkStart w:id="801" w:name="_Toc463003910"/>
      <w:r>
        <w:rPr>
          <w:rFonts w:hint="eastAsia"/>
        </w:rPr>
        <w:t>开标一览表</w:t>
      </w:r>
      <w:bookmarkEnd w:id="799"/>
      <w:bookmarkEnd w:id="800"/>
      <w:bookmarkEnd w:id="80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440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75C4C5A4">
            <w:pPr>
              <w:widowControl/>
              <w:spacing w:line="360" w:lineRule="auto"/>
              <w:jc w:val="center"/>
              <w:rPr>
                <w:rFonts w:hint="eastAsia"/>
                <w:szCs w:val="21"/>
              </w:rPr>
            </w:pPr>
            <w:r>
              <w:rPr>
                <w:rFonts w:hint="eastAsia"/>
                <w:szCs w:val="21"/>
              </w:rPr>
              <w:t>项目名称</w:t>
            </w:r>
          </w:p>
        </w:tc>
        <w:tc>
          <w:tcPr>
            <w:tcW w:w="6015" w:type="dxa"/>
            <w:tcBorders>
              <w:top w:val="single" w:color="auto" w:sz="4" w:space="0"/>
              <w:left w:val="single" w:color="auto" w:sz="4" w:space="0"/>
              <w:bottom w:val="single" w:color="auto" w:sz="4" w:space="0"/>
              <w:right w:val="single" w:color="auto" w:sz="4" w:space="0"/>
            </w:tcBorders>
            <w:vAlign w:val="center"/>
          </w:tcPr>
          <w:p w14:paraId="18DF27A1">
            <w:pPr>
              <w:widowControl/>
              <w:spacing w:line="360" w:lineRule="auto"/>
              <w:jc w:val="center"/>
              <w:rPr>
                <w:rFonts w:hint="eastAsia"/>
                <w:szCs w:val="21"/>
              </w:rPr>
            </w:pPr>
          </w:p>
        </w:tc>
      </w:tr>
      <w:tr w14:paraId="727A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52DEAD9F">
            <w:pPr>
              <w:widowControl/>
              <w:spacing w:line="360" w:lineRule="auto"/>
              <w:jc w:val="center"/>
              <w:rPr>
                <w:rFonts w:hint="eastAsia"/>
                <w:szCs w:val="21"/>
              </w:rPr>
            </w:pPr>
            <w:r>
              <w:rPr>
                <w:rFonts w:hint="eastAsia"/>
                <w:szCs w:val="21"/>
              </w:rPr>
              <w:t>投标人</w:t>
            </w:r>
          </w:p>
        </w:tc>
        <w:tc>
          <w:tcPr>
            <w:tcW w:w="6015" w:type="dxa"/>
            <w:tcBorders>
              <w:top w:val="single" w:color="auto" w:sz="4" w:space="0"/>
              <w:left w:val="single" w:color="auto" w:sz="4" w:space="0"/>
              <w:bottom w:val="single" w:color="auto" w:sz="4" w:space="0"/>
              <w:right w:val="single" w:color="auto" w:sz="4" w:space="0"/>
            </w:tcBorders>
            <w:vAlign w:val="center"/>
          </w:tcPr>
          <w:p w14:paraId="43B7851A">
            <w:pPr>
              <w:widowControl/>
              <w:spacing w:line="360" w:lineRule="auto"/>
              <w:jc w:val="center"/>
              <w:rPr>
                <w:rFonts w:hint="eastAsia"/>
                <w:szCs w:val="21"/>
              </w:rPr>
            </w:pPr>
          </w:p>
        </w:tc>
      </w:tr>
      <w:tr w14:paraId="4C03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50B2A7F9">
            <w:pPr>
              <w:widowControl/>
              <w:spacing w:line="360" w:lineRule="auto"/>
              <w:jc w:val="center"/>
              <w:rPr>
                <w:rFonts w:hint="eastAsia"/>
                <w:szCs w:val="21"/>
              </w:rPr>
            </w:pPr>
            <w:r>
              <w:rPr>
                <w:rFonts w:hint="eastAsia"/>
                <w:szCs w:val="21"/>
              </w:rPr>
              <w:t>投标内容</w:t>
            </w:r>
          </w:p>
        </w:tc>
        <w:tc>
          <w:tcPr>
            <w:tcW w:w="6015" w:type="dxa"/>
            <w:tcBorders>
              <w:top w:val="single" w:color="auto" w:sz="4" w:space="0"/>
              <w:left w:val="single" w:color="auto" w:sz="4" w:space="0"/>
              <w:bottom w:val="single" w:color="auto" w:sz="4" w:space="0"/>
              <w:right w:val="single" w:color="auto" w:sz="4" w:space="0"/>
            </w:tcBorders>
            <w:vAlign w:val="center"/>
          </w:tcPr>
          <w:p w14:paraId="70E2E8A0">
            <w:pPr>
              <w:widowControl/>
              <w:spacing w:line="360" w:lineRule="auto"/>
              <w:jc w:val="center"/>
              <w:rPr>
                <w:rFonts w:hint="eastAsia"/>
                <w:szCs w:val="21"/>
              </w:rPr>
            </w:pPr>
          </w:p>
        </w:tc>
      </w:tr>
      <w:tr w14:paraId="2AEF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3211D957">
            <w:pPr>
              <w:widowControl/>
              <w:spacing w:line="360" w:lineRule="auto"/>
              <w:jc w:val="center"/>
              <w:rPr>
                <w:rFonts w:hint="eastAsia"/>
                <w:szCs w:val="21"/>
              </w:rPr>
            </w:pPr>
            <w:r>
              <w:rPr>
                <w:rFonts w:hint="eastAsia"/>
                <w:szCs w:val="21"/>
              </w:rPr>
              <w:t>项目编号</w:t>
            </w:r>
          </w:p>
        </w:tc>
        <w:tc>
          <w:tcPr>
            <w:tcW w:w="6015" w:type="dxa"/>
            <w:tcBorders>
              <w:top w:val="single" w:color="auto" w:sz="4" w:space="0"/>
              <w:left w:val="single" w:color="auto" w:sz="4" w:space="0"/>
              <w:bottom w:val="single" w:color="auto" w:sz="4" w:space="0"/>
              <w:right w:val="single" w:color="auto" w:sz="4" w:space="0"/>
            </w:tcBorders>
            <w:vAlign w:val="center"/>
          </w:tcPr>
          <w:p w14:paraId="71CB9A65">
            <w:pPr>
              <w:widowControl/>
              <w:spacing w:line="360" w:lineRule="auto"/>
              <w:rPr>
                <w:rFonts w:hint="eastAsia"/>
                <w:b/>
                <w:bCs/>
                <w:szCs w:val="21"/>
              </w:rPr>
            </w:pPr>
          </w:p>
        </w:tc>
      </w:tr>
      <w:tr w14:paraId="0270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vMerge w:val="restart"/>
            <w:tcBorders>
              <w:top w:val="single" w:color="auto" w:sz="4" w:space="0"/>
              <w:left w:val="single" w:color="auto" w:sz="4" w:space="0"/>
              <w:right w:val="single" w:color="auto" w:sz="4" w:space="0"/>
            </w:tcBorders>
            <w:vAlign w:val="center"/>
          </w:tcPr>
          <w:p w14:paraId="30B6AA4D">
            <w:pPr>
              <w:widowControl/>
              <w:spacing w:line="360" w:lineRule="auto"/>
              <w:jc w:val="center"/>
              <w:rPr>
                <w:rFonts w:hint="eastAsia"/>
                <w:szCs w:val="21"/>
              </w:rPr>
            </w:pPr>
            <w:r>
              <w:rPr>
                <w:rFonts w:hint="eastAsia"/>
                <w:szCs w:val="21"/>
              </w:rPr>
              <w:t>投标报价（总价）</w:t>
            </w:r>
          </w:p>
        </w:tc>
        <w:tc>
          <w:tcPr>
            <w:tcW w:w="6015" w:type="dxa"/>
            <w:tcBorders>
              <w:top w:val="single" w:color="auto" w:sz="4" w:space="0"/>
              <w:left w:val="single" w:color="auto" w:sz="4" w:space="0"/>
              <w:right w:val="single" w:color="auto" w:sz="4" w:space="0"/>
            </w:tcBorders>
            <w:vAlign w:val="center"/>
          </w:tcPr>
          <w:p w14:paraId="6AB02463">
            <w:pPr>
              <w:spacing w:line="360" w:lineRule="auto"/>
              <w:rPr>
                <w:rFonts w:hint="eastAsia"/>
                <w:b/>
                <w:bCs/>
                <w:szCs w:val="21"/>
              </w:rPr>
            </w:pPr>
            <w:r>
              <w:rPr>
                <w:rFonts w:hint="eastAsia"/>
                <w:bCs/>
                <w:szCs w:val="21"/>
              </w:rPr>
              <w:t>小写：</w:t>
            </w:r>
            <w:r>
              <w:rPr>
                <w:rFonts w:hint="eastAsia"/>
                <w:szCs w:val="21"/>
              </w:rPr>
              <w:t>¥</w:t>
            </w:r>
            <w:r>
              <w:rPr>
                <w:rFonts w:hint="eastAsia"/>
                <w:bCs/>
                <w:szCs w:val="21"/>
                <w:u w:val="single"/>
              </w:rPr>
              <w:t xml:space="preserve">                 </w:t>
            </w:r>
            <w:r>
              <w:rPr>
                <w:rFonts w:hint="eastAsia"/>
                <w:bCs/>
                <w:szCs w:val="21"/>
              </w:rPr>
              <w:t>元</w:t>
            </w:r>
          </w:p>
        </w:tc>
      </w:tr>
      <w:tr w14:paraId="3D6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vMerge w:val="continue"/>
            <w:tcBorders>
              <w:left w:val="single" w:color="auto" w:sz="4" w:space="0"/>
              <w:right w:val="single" w:color="auto" w:sz="4" w:space="0"/>
            </w:tcBorders>
            <w:vAlign w:val="center"/>
          </w:tcPr>
          <w:p w14:paraId="3D02F144">
            <w:pPr>
              <w:spacing w:line="360" w:lineRule="auto"/>
              <w:rPr>
                <w:rFonts w:hint="eastAsia"/>
              </w:rPr>
            </w:pPr>
          </w:p>
        </w:tc>
        <w:tc>
          <w:tcPr>
            <w:tcW w:w="6015" w:type="dxa"/>
            <w:tcBorders>
              <w:top w:val="single" w:color="auto" w:sz="4" w:space="0"/>
              <w:left w:val="single" w:color="auto" w:sz="4" w:space="0"/>
              <w:right w:val="single" w:color="auto" w:sz="4" w:space="0"/>
            </w:tcBorders>
            <w:vAlign w:val="center"/>
          </w:tcPr>
          <w:p w14:paraId="34EE84D0">
            <w:pPr>
              <w:spacing w:line="360" w:lineRule="auto"/>
              <w:rPr>
                <w:rFonts w:hint="eastAsia"/>
                <w:szCs w:val="21"/>
              </w:rPr>
            </w:pPr>
            <w:r>
              <w:rPr>
                <w:rFonts w:hint="eastAsia"/>
                <w:bCs/>
                <w:szCs w:val="21"/>
              </w:rPr>
              <w:t>大写：</w:t>
            </w:r>
            <w:r>
              <w:rPr>
                <w:rFonts w:hint="eastAsia"/>
                <w:bCs/>
                <w:szCs w:val="21"/>
                <w:u w:val="single"/>
              </w:rPr>
              <w:t xml:space="preserve">                 </w:t>
            </w:r>
          </w:p>
        </w:tc>
      </w:tr>
      <w:tr w14:paraId="1068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right w:val="single" w:color="auto" w:sz="4" w:space="0"/>
            </w:tcBorders>
            <w:vAlign w:val="center"/>
          </w:tcPr>
          <w:p w14:paraId="256F37A5">
            <w:pPr>
              <w:widowControl/>
              <w:spacing w:line="360" w:lineRule="auto"/>
              <w:jc w:val="center"/>
              <w:rPr>
                <w:rFonts w:hint="eastAsia"/>
                <w:szCs w:val="21"/>
              </w:rPr>
            </w:pPr>
            <w:r>
              <w:rPr>
                <w:rFonts w:hint="eastAsia"/>
                <w:szCs w:val="21"/>
              </w:rPr>
              <w:t>质保期</w:t>
            </w:r>
          </w:p>
        </w:tc>
        <w:tc>
          <w:tcPr>
            <w:tcW w:w="6015" w:type="dxa"/>
            <w:tcBorders>
              <w:top w:val="single" w:color="auto" w:sz="4" w:space="0"/>
              <w:left w:val="single" w:color="auto" w:sz="4" w:space="0"/>
              <w:right w:val="single" w:color="auto" w:sz="4" w:space="0"/>
            </w:tcBorders>
            <w:vAlign w:val="center"/>
          </w:tcPr>
          <w:p w14:paraId="36B6730F">
            <w:pPr>
              <w:widowControl/>
              <w:spacing w:line="360" w:lineRule="auto"/>
              <w:jc w:val="center"/>
              <w:rPr>
                <w:rFonts w:hint="eastAsia"/>
                <w:b/>
                <w:bCs/>
                <w:szCs w:val="21"/>
              </w:rPr>
            </w:pPr>
          </w:p>
        </w:tc>
      </w:tr>
      <w:tr w14:paraId="275A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2007445D">
            <w:pPr>
              <w:widowControl/>
              <w:spacing w:line="360" w:lineRule="auto"/>
              <w:jc w:val="center"/>
              <w:rPr>
                <w:rFonts w:hint="eastAsia"/>
                <w:szCs w:val="21"/>
              </w:rPr>
            </w:pPr>
            <w:r>
              <w:rPr>
                <w:rFonts w:hint="eastAsia"/>
                <w:szCs w:val="21"/>
              </w:rPr>
              <w:t>服务地点</w:t>
            </w:r>
          </w:p>
        </w:tc>
        <w:tc>
          <w:tcPr>
            <w:tcW w:w="6015" w:type="dxa"/>
            <w:tcBorders>
              <w:top w:val="single" w:color="auto" w:sz="4" w:space="0"/>
              <w:left w:val="single" w:color="auto" w:sz="4" w:space="0"/>
              <w:bottom w:val="single" w:color="auto" w:sz="4" w:space="0"/>
              <w:right w:val="single" w:color="auto" w:sz="4" w:space="0"/>
            </w:tcBorders>
            <w:vAlign w:val="center"/>
          </w:tcPr>
          <w:p w14:paraId="51D65A7B">
            <w:pPr>
              <w:widowControl/>
              <w:spacing w:line="360" w:lineRule="auto"/>
              <w:jc w:val="center"/>
              <w:rPr>
                <w:rFonts w:hint="eastAsia"/>
                <w:szCs w:val="21"/>
              </w:rPr>
            </w:pPr>
            <w:r>
              <w:rPr>
                <w:rFonts w:hint="eastAsia"/>
                <w:szCs w:val="21"/>
              </w:rPr>
              <w:t xml:space="preserve"> </w:t>
            </w:r>
          </w:p>
        </w:tc>
      </w:tr>
      <w:tr w14:paraId="1C51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455C50C7">
            <w:pPr>
              <w:widowControl/>
              <w:spacing w:line="360" w:lineRule="auto"/>
              <w:jc w:val="center"/>
              <w:rPr>
                <w:rFonts w:hint="eastAsia"/>
                <w:szCs w:val="21"/>
              </w:rPr>
            </w:pPr>
            <w:r>
              <w:rPr>
                <w:rFonts w:hint="eastAsia"/>
                <w:szCs w:val="21"/>
              </w:rPr>
              <w:t>服务标准</w:t>
            </w:r>
          </w:p>
        </w:tc>
        <w:tc>
          <w:tcPr>
            <w:tcW w:w="6015" w:type="dxa"/>
            <w:tcBorders>
              <w:top w:val="single" w:color="auto" w:sz="4" w:space="0"/>
              <w:left w:val="single" w:color="auto" w:sz="4" w:space="0"/>
              <w:bottom w:val="single" w:color="auto" w:sz="4" w:space="0"/>
              <w:right w:val="single" w:color="auto" w:sz="4" w:space="0"/>
            </w:tcBorders>
            <w:vAlign w:val="center"/>
          </w:tcPr>
          <w:p w14:paraId="0193C0A2">
            <w:pPr>
              <w:widowControl/>
              <w:spacing w:line="360" w:lineRule="auto"/>
              <w:jc w:val="center"/>
              <w:rPr>
                <w:rFonts w:hint="eastAsia"/>
                <w:szCs w:val="21"/>
              </w:rPr>
            </w:pPr>
          </w:p>
        </w:tc>
      </w:tr>
      <w:tr w14:paraId="2F4E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04972F04">
            <w:pPr>
              <w:widowControl/>
              <w:spacing w:line="360" w:lineRule="auto"/>
              <w:jc w:val="center"/>
              <w:rPr>
                <w:rFonts w:hint="eastAsia"/>
                <w:szCs w:val="21"/>
              </w:rPr>
            </w:pPr>
            <w:r>
              <w:rPr>
                <w:rFonts w:hint="eastAsia"/>
                <w:szCs w:val="21"/>
              </w:rPr>
              <w:t>其他</w:t>
            </w:r>
          </w:p>
        </w:tc>
        <w:tc>
          <w:tcPr>
            <w:tcW w:w="6015" w:type="dxa"/>
            <w:tcBorders>
              <w:top w:val="single" w:color="auto" w:sz="4" w:space="0"/>
              <w:left w:val="single" w:color="auto" w:sz="4" w:space="0"/>
              <w:bottom w:val="single" w:color="auto" w:sz="4" w:space="0"/>
              <w:right w:val="single" w:color="auto" w:sz="4" w:space="0"/>
            </w:tcBorders>
            <w:vAlign w:val="center"/>
          </w:tcPr>
          <w:p w14:paraId="36F34FEF">
            <w:pPr>
              <w:widowControl/>
              <w:spacing w:line="360" w:lineRule="auto"/>
              <w:jc w:val="center"/>
              <w:rPr>
                <w:rFonts w:hint="eastAsia"/>
                <w:szCs w:val="21"/>
              </w:rPr>
            </w:pPr>
          </w:p>
        </w:tc>
      </w:tr>
      <w:tr w14:paraId="5D5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6996451F">
            <w:pPr>
              <w:spacing w:line="360" w:lineRule="auto"/>
              <w:jc w:val="center"/>
              <w:rPr>
                <w:rFonts w:hint="eastAsia"/>
                <w:szCs w:val="21"/>
              </w:rPr>
            </w:pPr>
            <w:r>
              <w:rPr>
                <w:rFonts w:hint="eastAsia"/>
                <w:szCs w:val="21"/>
              </w:rPr>
              <w:t>备  注</w:t>
            </w:r>
          </w:p>
        </w:tc>
        <w:tc>
          <w:tcPr>
            <w:tcW w:w="6015" w:type="dxa"/>
            <w:tcBorders>
              <w:top w:val="single" w:color="auto" w:sz="4" w:space="0"/>
              <w:left w:val="single" w:color="auto" w:sz="4" w:space="0"/>
              <w:bottom w:val="single" w:color="auto" w:sz="4" w:space="0"/>
              <w:right w:val="single" w:color="auto" w:sz="4" w:space="0"/>
            </w:tcBorders>
            <w:vAlign w:val="center"/>
          </w:tcPr>
          <w:p w14:paraId="44E697E5">
            <w:pPr>
              <w:widowControl/>
              <w:spacing w:line="360" w:lineRule="auto"/>
              <w:jc w:val="center"/>
              <w:rPr>
                <w:rFonts w:hint="eastAsia"/>
                <w:szCs w:val="21"/>
              </w:rPr>
            </w:pPr>
          </w:p>
        </w:tc>
      </w:tr>
    </w:tbl>
    <w:p w14:paraId="793FE7EA">
      <w:pPr>
        <w:pStyle w:val="29"/>
        <w:spacing w:line="360" w:lineRule="auto"/>
        <w:rPr>
          <w:rFonts w:hint="eastAsia"/>
          <w:color w:val="auto"/>
          <w:kern w:val="2"/>
          <w:sz w:val="21"/>
          <w:szCs w:val="21"/>
        </w:rPr>
      </w:pPr>
    </w:p>
    <w:p w14:paraId="23B0F133">
      <w:pPr>
        <w:spacing w:line="360" w:lineRule="auto"/>
        <w:rPr>
          <w:rFonts w:hint="eastAsia"/>
          <w:szCs w:val="21"/>
        </w:rPr>
      </w:pPr>
    </w:p>
    <w:p w14:paraId="5621E84D">
      <w:pPr>
        <w:pStyle w:val="29"/>
        <w:spacing w:line="360" w:lineRule="auto"/>
        <w:rPr>
          <w:rFonts w:hint="eastAsia"/>
          <w:color w:val="auto"/>
        </w:rPr>
      </w:pPr>
    </w:p>
    <w:p w14:paraId="6DD9A358">
      <w:pPr>
        <w:spacing w:line="360" w:lineRule="auto"/>
        <w:rPr>
          <w:rFonts w:hint="eastAsia"/>
          <w:szCs w:val="21"/>
        </w:rPr>
      </w:pPr>
    </w:p>
    <w:p w14:paraId="515C4AD9">
      <w:pPr>
        <w:spacing w:line="360" w:lineRule="auto"/>
        <w:ind w:firstLine="3360" w:firstLineChars="1600"/>
        <w:rPr>
          <w:rFonts w:hint="eastAsia"/>
          <w:bCs/>
          <w:szCs w:val="21"/>
        </w:rPr>
      </w:pPr>
      <w:r>
        <w:rPr>
          <w:rFonts w:hint="eastAsia"/>
          <w:kern w:val="0"/>
          <w:szCs w:val="21"/>
        </w:rPr>
        <w:t>投 标 人</w:t>
      </w:r>
      <w:r>
        <w:rPr>
          <w:rFonts w:hint="eastAsia"/>
          <w:bCs/>
          <w:szCs w:val="21"/>
        </w:rPr>
        <w:t>：</w:t>
      </w:r>
      <w:r>
        <w:rPr>
          <w:rFonts w:hint="eastAsia"/>
          <w:bCs/>
          <w:szCs w:val="21"/>
          <w:u w:val="single"/>
        </w:rPr>
        <w:t xml:space="preserve">                      </w:t>
      </w:r>
      <w:r>
        <w:rPr>
          <w:rFonts w:hint="eastAsia"/>
          <w:bCs/>
          <w:szCs w:val="21"/>
        </w:rPr>
        <w:t>（盖章）</w:t>
      </w:r>
    </w:p>
    <w:p w14:paraId="5CB0459D">
      <w:pPr>
        <w:spacing w:line="360" w:lineRule="auto"/>
        <w:ind w:firstLine="3360" w:firstLineChars="16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716B8F9E">
      <w:pPr>
        <w:tabs>
          <w:tab w:val="left" w:pos="5380"/>
          <w:tab w:val="left" w:pos="6520"/>
          <w:tab w:val="left" w:pos="7680"/>
        </w:tabs>
        <w:autoSpaceDE w:val="0"/>
        <w:autoSpaceDN w:val="0"/>
        <w:adjustRightInd w:val="0"/>
        <w:spacing w:line="360" w:lineRule="auto"/>
        <w:ind w:right="-23" w:firstLine="4620" w:firstLineChars="22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46719CB4">
      <w:pPr>
        <w:spacing w:line="360" w:lineRule="auto"/>
        <w:rPr>
          <w:rFonts w:hint="eastAsia"/>
          <w:szCs w:val="21"/>
        </w:rPr>
      </w:pPr>
    </w:p>
    <w:p w14:paraId="0F958C6C">
      <w:pPr>
        <w:tabs>
          <w:tab w:val="left" w:pos="5380"/>
          <w:tab w:val="left" w:pos="6520"/>
          <w:tab w:val="left" w:pos="7680"/>
        </w:tabs>
        <w:autoSpaceDE w:val="0"/>
        <w:autoSpaceDN w:val="0"/>
        <w:adjustRightInd w:val="0"/>
        <w:spacing w:line="360" w:lineRule="auto"/>
        <w:ind w:right="-23"/>
        <w:jc w:val="center"/>
        <w:rPr>
          <w:rFonts w:hint="eastAsia"/>
        </w:rPr>
        <w:sectPr>
          <w:pgSz w:w="11906" w:h="16838"/>
          <w:pgMar w:top="1440" w:right="1797" w:bottom="1247" w:left="1797" w:header="851" w:footer="992" w:gutter="0"/>
          <w:cols w:space="720" w:num="1"/>
          <w:docGrid w:type="linesAndChars" w:linePitch="312" w:charSpace="0"/>
        </w:sectPr>
      </w:pPr>
    </w:p>
    <w:p w14:paraId="7738B557">
      <w:pPr>
        <w:pStyle w:val="3"/>
        <w:jc w:val="center"/>
        <w:rPr>
          <w:rFonts w:hint="eastAsia" w:ascii="宋体" w:hAnsi="宋体"/>
        </w:rPr>
      </w:pPr>
      <w:bookmarkStart w:id="802" w:name="_Toc30493"/>
      <w:bookmarkStart w:id="803" w:name="_Toc20507"/>
      <w:r>
        <w:rPr>
          <w:rFonts w:hint="eastAsia"/>
        </w:rPr>
        <w:t>（二）</w:t>
      </w:r>
      <w:bookmarkStart w:id="804" w:name="_Toc11953"/>
      <w:bookmarkStart w:id="805" w:name="_Toc13014"/>
      <w:r>
        <w:rPr>
          <w:rFonts w:hint="eastAsia" w:ascii="宋体" w:hAnsi="宋体"/>
          <w:szCs w:val="24"/>
        </w:rPr>
        <w:t>联合体协议</w:t>
      </w:r>
      <w:bookmarkEnd w:id="804"/>
      <w:r>
        <w:rPr>
          <w:rFonts w:hint="eastAsia" w:ascii="宋体" w:hAnsi="宋体"/>
          <w:bCs/>
          <w:szCs w:val="24"/>
        </w:rPr>
        <w:t>（</w:t>
      </w:r>
      <w:r>
        <w:rPr>
          <w:rFonts w:hint="eastAsia" w:ascii="宋体" w:hAnsi="宋体"/>
          <w:szCs w:val="24"/>
        </w:rPr>
        <w:t>如有）</w:t>
      </w:r>
      <w:bookmarkEnd w:id="802"/>
      <w:bookmarkEnd w:id="803"/>
      <w:bookmarkEnd w:id="805"/>
    </w:p>
    <w:p w14:paraId="5591CDF4">
      <w:pPr>
        <w:spacing w:line="360" w:lineRule="auto"/>
        <w:ind w:firstLine="420" w:firstLineChars="200"/>
        <w:jc w:val="left"/>
        <w:rPr>
          <w:rFonts w:hint="eastAsia"/>
        </w:rPr>
      </w:pPr>
      <w:r>
        <w:rPr>
          <w:rFonts w:hint="eastAsia"/>
          <w:u w:val="single"/>
        </w:rPr>
        <w:t xml:space="preserve">             </w:t>
      </w:r>
      <w:r>
        <w:rPr>
          <w:rFonts w:hint="eastAsia"/>
        </w:rPr>
        <w:t>就</w:t>
      </w:r>
      <w:r>
        <w:rPr>
          <w:rFonts w:hint="eastAsia"/>
          <w:u w:val="single"/>
        </w:rPr>
        <w:t xml:space="preserve">       （项目名称）      </w:t>
      </w:r>
      <w:r>
        <w:rPr>
          <w:rFonts w:hint="eastAsia"/>
        </w:rPr>
        <w:t>招标项目的投标事宜，经各方充分协商一致，达成如下协议：</w:t>
      </w:r>
    </w:p>
    <w:p w14:paraId="5596F383">
      <w:pPr>
        <w:spacing w:line="360" w:lineRule="auto"/>
        <w:ind w:firstLine="420" w:firstLineChars="200"/>
        <w:rPr>
          <w:rFonts w:hint="eastAsia"/>
        </w:rPr>
      </w:pPr>
      <w:r>
        <w:rPr>
          <w:rFonts w:hint="eastAsia"/>
        </w:rPr>
        <w:t>一、由</w:t>
      </w:r>
      <w:r>
        <w:rPr>
          <w:rFonts w:hint="eastAsia"/>
          <w:u w:val="single"/>
        </w:rPr>
        <w:t xml:space="preserve">        </w:t>
      </w:r>
      <w:r>
        <w:rPr>
          <w:rFonts w:hint="eastAsia"/>
        </w:rPr>
        <w:t>牵头，</w:t>
      </w:r>
      <w:r>
        <w:rPr>
          <w:rFonts w:hint="eastAsia"/>
          <w:u w:val="single"/>
        </w:rPr>
        <w:t xml:space="preserve">               </w:t>
      </w:r>
      <w:r>
        <w:rPr>
          <w:rFonts w:hint="eastAsia"/>
        </w:rPr>
        <w:t xml:space="preserve"> 、</w:t>
      </w:r>
      <w:r>
        <w:rPr>
          <w:rFonts w:hint="eastAsia"/>
          <w:u w:val="single"/>
        </w:rPr>
        <w:t xml:space="preserve">                    </w:t>
      </w:r>
      <w:r>
        <w:rPr>
          <w:rFonts w:hint="eastAsia"/>
        </w:rPr>
        <w:t>参加，组成联合体共同进行招标项目的投标工作。</w:t>
      </w:r>
    </w:p>
    <w:p w14:paraId="1B08DBAF">
      <w:pPr>
        <w:spacing w:line="360" w:lineRule="auto"/>
        <w:ind w:firstLine="420" w:firstLineChars="200"/>
        <w:rPr>
          <w:rFonts w:hint="eastAsia"/>
        </w:rPr>
      </w:pPr>
      <w:r>
        <w:rPr>
          <w:rFonts w:hint="eastAsia"/>
        </w:rPr>
        <w:t>二、联合体中标后，联合体各方共同与采购人签订合同，就采购合同约定的事项对采购人承担连带责任。</w:t>
      </w:r>
    </w:p>
    <w:p w14:paraId="3DE07C0D">
      <w:pPr>
        <w:spacing w:line="360" w:lineRule="auto"/>
        <w:ind w:firstLine="420" w:firstLineChars="200"/>
        <w:rPr>
          <w:rFonts w:hint="eastAsia"/>
        </w:rPr>
      </w:pPr>
      <w:r>
        <w:rPr>
          <w:rFonts w:hint="eastAsia"/>
        </w:rPr>
        <w:t>三、联合体各方均同意由牵头人代表其他联合体成员单位按招标文件要求出具《授权委托书》。</w:t>
      </w:r>
    </w:p>
    <w:p w14:paraId="6803D064">
      <w:pPr>
        <w:spacing w:line="360" w:lineRule="auto"/>
        <w:ind w:firstLine="420" w:firstLineChars="200"/>
        <w:outlineLvl w:val="1"/>
        <w:rPr>
          <w:rFonts w:hint="eastAsia"/>
        </w:rPr>
      </w:pPr>
      <w:bookmarkStart w:id="806" w:name="_Toc17252"/>
      <w:r>
        <w:rPr>
          <w:rFonts w:hint="eastAsia"/>
        </w:rPr>
        <w:t>四、牵头人为项目的总负责单位：组织各参加方进行项目实施工作。</w:t>
      </w:r>
      <w:bookmarkEnd w:id="806"/>
    </w:p>
    <w:p w14:paraId="755E8C14">
      <w:pPr>
        <w:spacing w:line="360" w:lineRule="auto"/>
        <w:ind w:firstLine="420" w:firstLineChars="200"/>
        <w:rPr>
          <w:rFonts w:hint="eastAsia"/>
        </w:rPr>
      </w:pPr>
      <w:r>
        <w:rPr>
          <w:rFonts w:hint="eastAsia"/>
        </w:rPr>
        <w:t>五、联合体各成员单位内部的职责分工如下：</w:t>
      </w:r>
      <w:r>
        <w:rPr>
          <w:rFonts w:hint="eastAsia"/>
          <w:u w:val="single"/>
        </w:rPr>
        <w:t xml:space="preserve">          </w:t>
      </w:r>
      <w:r>
        <w:rPr>
          <w:rFonts w:hint="eastAsia"/>
        </w:rPr>
        <w:t>。</w:t>
      </w:r>
    </w:p>
    <w:p w14:paraId="4730CFDB">
      <w:pPr>
        <w:spacing w:line="360" w:lineRule="auto"/>
        <w:ind w:firstLine="420" w:firstLineChars="200"/>
        <w:rPr>
          <w:rFonts w:hint="eastAsia"/>
        </w:rPr>
      </w:pPr>
      <w:r>
        <w:rPr>
          <w:rFonts w:hint="eastAsia"/>
        </w:rPr>
        <w:t>六、本项目联合协议合同总额为</w:t>
      </w:r>
      <w:r>
        <w:rPr>
          <w:rFonts w:hint="eastAsia"/>
          <w:u w:val="single"/>
        </w:rPr>
        <w:t xml:space="preserve">       </w:t>
      </w:r>
      <w:r>
        <w:rPr>
          <w:rFonts w:hint="eastAsia"/>
        </w:rPr>
        <w:t>元，联合体各成员按照如下比例分摊（按联合体成员分别列明）：</w:t>
      </w:r>
    </w:p>
    <w:p w14:paraId="36A2D050">
      <w:pPr>
        <w:spacing w:line="360" w:lineRule="auto"/>
        <w:ind w:firstLine="420" w:firstLineChars="200"/>
        <w:rPr>
          <w:rFonts w:hint="eastAsia"/>
        </w:rPr>
      </w:pPr>
      <w:r>
        <w:rPr>
          <w:rFonts w:hint="eastAsia"/>
        </w:rPr>
        <w:t>(1)</w:t>
      </w:r>
      <w:r>
        <w:rPr>
          <w:rFonts w:hint="eastAsia"/>
          <w:u w:val="single"/>
        </w:rPr>
        <w:t xml:space="preserve">                     </w:t>
      </w:r>
      <w:r>
        <w:rPr>
          <w:rFonts w:hint="eastAsia"/>
        </w:rPr>
        <w:t>为□大型企业、□中型 企业、□小微企业（包含监狱企业、残疾人福利性单位）、□其他，合同金额为</w:t>
      </w:r>
      <w:r>
        <w:rPr>
          <w:rFonts w:hint="eastAsia"/>
          <w:u w:val="single"/>
        </w:rPr>
        <w:t xml:space="preserve">       </w:t>
      </w:r>
      <w:r>
        <w:rPr>
          <w:rFonts w:hint="eastAsia"/>
        </w:rPr>
        <w:t>元；</w:t>
      </w:r>
    </w:p>
    <w:p w14:paraId="1F1E590B">
      <w:pPr>
        <w:spacing w:line="360" w:lineRule="auto"/>
        <w:ind w:firstLine="420" w:firstLineChars="200"/>
        <w:rPr>
          <w:rFonts w:hint="eastAsia"/>
        </w:rPr>
      </w:pPr>
      <w:r>
        <w:rPr>
          <w:rFonts w:hint="eastAsia"/>
        </w:rPr>
        <w:t>(2)</w:t>
      </w:r>
      <w:r>
        <w:rPr>
          <w:rFonts w:hint="eastAsia"/>
          <w:u w:val="single"/>
        </w:rPr>
        <w:t xml:space="preserve">                     </w:t>
      </w:r>
      <w:r>
        <w:rPr>
          <w:rFonts w:hint="eastAsia"/>
        </w:rPr>
        <w:t>为□大型企业、□中型 企业、□小微企业（包含监狱企业、残疾人福利性单位）、□其他，合同金额为</w:t>
      </w:r>
      <w:r>
        <w:rPr>
          <w:rFonts w:hint="eastAsia"/>
          <w:u w:val="single"/>
        </w:rPr>
        <w:t xml:space="preserve">       </w:t>
      </w:r>
      <w:r>
        <w:rPr>
          <w:rFonts w:hint="eastAsia"/>
        </w:rPr>
        <w:t>元；</w:t>
      </w:r>
    </w:p>
    <w:p w14:paraId="6A4AB583">
      <w:pPr>
        <w:spacing w:line="360" w:lineRule="auto"/>
        <w:ind w:firstLine="420" w:firstLineChars="200"/>
        <w:rPr>
          <w:rFonts w:hint="eastAsia"/>
        </w:rPr>
      </w:pPr>
      <w:r>
        <w:rPr>
          <w:rFonts w:hint="eastAsia"/>
        </w:rPr>
        <w:t>...</w:t>
      </w:r>
    </w:p>
    <w:p w14:paraId="4F225D79">
      <w:pPr>
        <w:spacing w:line="360" w:lineRule="auto"/>
        <w:ind w:firstLine="420" w:firstLineChars="200"/>
        <w:rPr>
          <w:rFonts w:hint="eastAsia"/>
        </w:rPr>
      </w:pPr>
      <w:r>
        <w:rPr>
          <w:rFonts w:hint="eastAsia"/>
        </w:rPr>
        <w:t>七、以联合体形式参加政府采购活动的，联合体各方不得再单独参加或者与其他投标人另外组成联合体参加同一合同项下的政府采购活动。</w:t>
      </w:r>
    </w:p>
    <w:p w14:paraId="7468C099">
      <w:pPr>
        <w:spacing w:line="360" w:lineRule="auto"/>
        <w:ind w:firstLine="420" w:firstLineChars="200"/>
        <w:outlineLvl w:val="1"/>
        <w:rPr>
          <w:rFonts w:hint="eastAsia"/>
        </w:rPr>
      </w:pPr>
      <w:bookmarkStart w:id="807" w:name="_Toc2967"/>
      <w:r>
        <w:rPr>
          <w:rFonts w:hint="eastAsia"/>
        </w:rPr>
        <w:t>八、其他约定（如有）：</w:t>
      </w:r>
      <w:bookmarkEnd w:id="807"/>
    </w:p>
    <w:p w14:paraId="71B19F05">
      <w:pPr>
        <w:spacing w:line="360" w:lineRule="auto"/>
        <w:ind w:firstLine="420" w:firstLineChars="200"/>
        <w:rPr>
          <w:rFonts w:hint="eastAsia"/>
        </w:rPr>
      </w:pPr>
      <w:r>
        <w:rPr>
          <w:rFonts w:hint="eastAsia"/>
        </w:rPr>
        <w:t>本协议自各方盖章后生效，采购合同履行完毕后自动失效。如未中标，本协议自动终止。</w:t>
      </w:r>
    </w:p>
    <w:tbl>
      <w:tblPr>
        <w:tblStyle w:val="23"/>
        <w:tblW w:w="9600" w:type="dxa"/>
        <w:jc w:val="center"/>
        <w:tblLayout w:type="autofit"/>
        <w:tblCellMar>
          <w:top w:w="0" w:type="dxa"/>
          <w:left w:w="108" w:type="dxa"/>
          <w:bottom w:w="0" w:type="dxa"/>
          <w:right w:w="108" w:type="dxa"/>
        </w:tblCellMar>
      </w:tblPr>
      <w:tblGrid>
        <w:gridCol w:w="4800"/>
        <w:gridCol w:w="4800"/>
      </w:tblGrid>
      <w:tr w14:paraId="59EBA43B">
        <w:tblPrEx>
          <w:tblCellMar>
            <w:top w:w="0" w:type="dxa"/>
            <w:left w:w="108" w:type="dxa"/>
            <w:bottom w:w="0" w:type="dxa"/>
            <w:right w:w="108" w:type="dxa"/>
          </w:tblCellMar>
        </w:tblPrEx>
        <w:trPr>
          <w:trHeight w:val="628" w:hRule="atLeast"/>
          <w:jc w:val="center"/>
        </w:trPr>
        <w:tc>
          <w:tcPr>
            <w:tcW w:w="4800" w:type="dxa"/>
          </w:tcPr>
          <w:p w14:paraId="462E8352">
            <w:pPr>
              <w:tabs>
                <w:tab w:val="left" w:pos="7240"/>
              </w:tabs>
              <w:autoSpaceDE w:val="0"/>
              <w:autoSpaceDN w:val="0"/>
              <w:adjustRightInd w:val="0"/>
              <w:spacing w:line="360" w:lineRule="auto"/>
              <w:rPr>
                <w:rFonts w:hint="eastAsia"/>
                <w:kern w:val="0"/>
                <w:position w:val="-4"/>
                <w:szCs w:val="21"/>
              </w:rPr>
            </w:pPr>
            <w:r>
              <w:rPr>
                <w:rFonts w:hint="eastAsia"/>
                <w:kern w:val="0"/>
                <w:position w:val="-4"/>
                <w:szCs w:val="21"/>
              </w:rPr>
              <w:t>联合</w:t>
            </w:r>
            <w:r>
              <w:rPr>
                <w:rFonts w:hint="eastAsia"/>
                <w:spacing w:val="-2"/>
                <w:kern w:val="0"/>
                <w:position w:val="-4"/>
                <w:szCs w:val="21"/>
              </w:rPr>
              <w:t>体</w:t>
            </w:r>
            <w:r>
              <w:rPr>
                <w:rFonts w:hint="eastAsia"/>
                <w:kern w:val="0"/>
                <w:position w:val="-4"/>
                <w:szCs w:val="21"/>
              </w:rPr>
              <w:t>牵</w:t>
            </w:r>
            <w:r>
              <w:rPr>
                <w:rFonts w:hint="eastAsia"/>
                <w:spacing w:val="-2"/>
                <w:kern w:val="0"/>
                <w:position w:val="-4"/>
                <w:szCs w:val="21"/>
              </w:rPr>
              <w:t>头</w:t>
            </w:r>
            <w:r>
              <w:rPr>
                <w:rFonts w:hint="eastAsia"/>
                <w:kern w:val="0"/>
                <w:position w:val="-4"/>
                <w:szCs w:val="21"/>
              </w:rPr>
              <w:t>人</w:t>
            </w:r>
            <w:r>
              <w:rPr>
                <w:rFonts w:hint="eastAsia"/>
                <w:spacing w:val="-2"/>
                <w:kern w:val="0"/>
                <w:position w:val="-4"/>
                <w:szCs w:val="21"/>
              </w:rPr>
              <w:t>名</w:t>
            </w:r>
            <w:r>
              <w:rPr>
                <w:rFonts w:hint="eastAsia"/>
                <w:kern w:val="0"/>
                <w:position w:val="-4"/>
                <w:szCs w:val="21"/>
              </w:rPr>
              <w:t>称</w:t>
            </w:r>
            <w:r>
              <w:rPr>
                <w:rFonts w:hint="eastAsia"/>
                <w:spacing w:val="-3"/>
                <w:kern w:val="0"/>
                <w:position w:val="-4"/>
                <w:szCs w:val="21"/>
              </w:rPr>
              <w:t>：</w:t>
            </w:r>
            <w:r>
              <w:rPr>
                <w:rFonts w:hint="eastAsia"/>
                <w:spacing w:val="43"/>
                <w:kern w:val="0"/>
                <w:position w:val="-4"/>
                <w:szCs w:val="21"/>
                <w:u w:val="single"/>
              </w:rPr>
              <w:t xml:space="preserve">    </w:t>
            </w:r>
            <w:r>
              <w:rPr>
                <w:rFonts w:hint="eastAsia"/>
                <w:kern w:val="0"/>
                <w:position w:val="-4"/>
                <w:szCs w:val="21"/>
              </w:rPr>
              <w:t>（盖章）</w:t>
            </w:r>
          </w:p>
        </w:tc>
        <w:tc>
          <w:tcPr>
            <w:tcW w:w="4800" w:type="dxa"/>
          </w:tcPr>
          <w:p w14:paraId="0170A80D">
            <w:pPr>
              <w:tabs>
                <w:tab w:val="left" w:pos="7240"/>
              </w:tabs>
              <w:autoSpaceDE w:val="0"/>
              <w:autoSpaceDN w:val="0"/>
              <w:adjustRightInd w:val="0"/>
              <w:spacing w:line="360" w:lineRule="auto"/>
              <w:rPr>
                <w:rFonts w:hint="eastAsia"/>
                <w:kern w:val="0"/>
                <w:position w:val="-4"/>
                <w:szCs w:val="21"/>
              </w:rPr>
            </w:pPr>
            <w:r>
              <w:rPr>
                <w:rFonts w:hint="eastAsia"/>
              </w:rPr>
              <w:t>联合体成员名称：</w:t>
            </w:r>
            <w:r>
              <w:rPr>
                <w:rFonts w:hint="eastAsia"/>
                <w:u w:val="single"/>
              </w:rPr>
              <w:t xml:space="preserve">             </w:t>
            </w:r>
            <w:r>
              <w:rPr>
                <w:rFonts w:hint="eastAsia"/>
                <w:kern w:val="0"/>
                <w:position w:val="-4"/>
                <w:szCs w:val="21"/>
              </w:rPr>
              <w:t>（盖章）</w:t>
            </w:r>
          </w:p>
        </w:tc>
      </w:tr>
      <w:tr w14:paraId="7B397087">
        <w:tblPrEx>
          <w:tblCellMar>
            <w:top w:w="0" w:type="dxa"/>
            <w:left w:w="108" w:type="dxa"/>
            <w:bottom w:w="0" w:type="dxa"/>
            <w:right w:w="108" w:type="dxa"/>
          </w:tblCellMar>
        </w:tblPrEx>
        <w:trPr>
          <w:trHeight w:val="576" w:hRule="atLeast"/>
          <w:jc w:val="center"/>
        </w:trPr>
        <w:tc>
          <w:tcPr>
            <w:tcW w:w="4800" w:type="dxa"/>
          </w:tcPr>
          <w:p w14:paraId="40085D67">
            <w:pPr>
              <w:tabs>
                <w:tab w:val="left" w:pos="7240"/>
              </w:tabs>
              <w:autoSpaceDE w:val="0"/>
              <w:autoSpaceDN w:val="0"/>
              <w:adjustRightInd w:val="0"/>
              <w:spacing w:line="360" w:lineRule="auto"/>
              <w:rPr>
                <w:rFonts w:hint="eastAsia"/>
                <w:kern w:val="0"/>
                <w:position w:val="-4"/>
                <w:szCs w:val="21"/>
              </w:rPr>
            </w:pPr>
            <w:r>
              <w:rPr>
                <w:rFonts w:hint="eastAsia"/>
                <w:kern w:val="0"/>
                <w:position w:val="-2"/>
                <w:szCs w:val="21"/>
              </w:rPr>
              <w:t>法定</w:t>
            </w:r>
            <w:r>
              <w:rPr>
                <w:rFonts w:hint="eastAsia"/>
                <w:spacing w:val="-2"/>
                <w:kern w:val="0"/>
                <w:position w:val="-2"/>
                <w:szCs w:val="21"/>
              </w:rPr>
              <w:t>代</w:t>
            </w:r>
            <w:r>
              <w:rPr>
                <w:rFonts w:hint="eastAsia"/>
                <w:kern w:val="0"/>
                <w:position w:val="-2"/>
                <w:szCs w:val="21"/>
              </w:rPr>
              <w:t>表</w:t>
            </w:r>
            <w:r>
              <w:rPr>
                <w:rFonts w:hint="eastAsia"/>
                <w:spacing w:val="-2"/>
                <w:kern w:val="0"/>
                <w:position w:val="-2"/>
                <w:szCs w:val="21"/>
              </w:rPr>
              <w:t>人</w:t>
            </w:r>
            <w:r>
              <w:rPr>
                <w:rFonts w:hint="eastAsia"/>
                <w:kern w:val="0"/>
                <w:position w:val="-2"/>
                <w:szCs w:val="21"/>
              </w:rPr>
              <w:t>或</w:t>
            </w:r>
            <w:r>
              <w:rPr>
                <w:rFonts w:hint="eastAsia"/>
                <w:spacing w:val="-2"/>
                <w:kern w:val="0"/>
                <w:position w:val="-2"/>
                <w:szCs w:val="21"/>
              </w:rPr>
              <w:t>其</w:t>
            </w:r>
            <w:r>
              <w:rPr>
                <w:rFonts w:hint="eastAsia"/>
                <w:kern w:val="0"/>
                <w:position w:val="-2"/>
                <w:szCs w:val="21"/>
              </w:rPr>
              <w:t>委</w:t>
            </w:r>
            <w:r>
              <w:rPr>
                <w:rFonts w:hint="eastAsia"/>
                <w:spacing w:val="-2"/>
                <w:kern w:val="0"/>
                <w:position w:val="-2"/>
                <w:szCs w:val="21"/>
              </w:rPr>
              <w:t>托</w:t>
            </w:r>
            <w:r>
              <w:rPr>
                <w:rFonts w:hint="eastAsia"/>
                <w:kern w:val="0"/>
                <w:position w:val="-2"/>
                <w:szCs w:val="21"/>
              </w:rPr>
              <w:t>代</w:t>
            </w:r>
            <w:r>
              <w:rPr>
                <w:rFonts w:hint="eastAsia"/>
                <w:spacing w:val="-2"/>
                <w:kern w:val="0"/>
                <w:position w:val="-2"/>
                <w:szCs w:val="21"/>
              </w:rPr>
              <w:t>理</w:t>
            </w:r>
            <w:r>
              <w:rPr>
                <w:rFonts w:hint="eastAsia"/>
                <w:kern w:val="0"/>
                <w:position w:val="-2"/>
                <w:szCs w:val="21"/>
              </w:rPr>
              <w:t>人：</w:t>
            </w:r>
            <w:r>
              <w:rPr>
                <w:rFonts w:hint="eastAsia"/>
                <w:spacing w:val="43"/>
                <w:kern w:val="0"/>
                <w:position w:val="-2"/>
                <w:szCs w:val="21"/>
                <w:u w:val="single"/>
              </w:rPr>
              <w:t xml:space="preserve"> </w:t>
            </w:r>
            <w:r>
              <w:rPr>
                <w:rFonts w:hint="eastAsia"/>
                <w:kern w:val="0"/>
                <w:position w:val="-2"/>
                <w:szCs w:val="21"/>
                <w:u w:val="single"/>
              </w:rPr>
              <w:t xml:space="preserve">   </w:t>
            </w:r>
            <w:r>
              <w:rPr>
                <w:rFonts w:hint="eastAsia"/>
                <w:kern w:val="0"/>
                <w:position w:val="-2"/>
                <w:szCs w:val="21"/>
              </w:rPr>
              <w:t>（签字或盖章）</w:t>
            </w:r>
          </w:p>
        </w:tc>
        <w:tc>
          <w:tcPr>
            <w:tcW w:w="4800" w:type="dxa"/>
          </w:tcPr>
          <w:p w14:paraId="1BF401ED">
            <w:pPr>
              <w:tabs>
                <w:tab w:val="left" w:pos="6400"/>
              </w:tabs>
              <w:autoSpaceDE w:val="0"/>
              <w:autoSpaceDN w:val="0"/>
              <w:adjustRightInd w:val="0"/>
              <w:spacing w:line="360" w:lineRule="auto"/>
              <w:rPr>
                <w:rFonts w:hint="eastAsia"/>
                <w:kern w:val="0"/>
                <w:szCs w:val="21"/>
              </w:rPr>
            </w:pPr>
            <w:r>
              <w:rPr>
                <w:rFonts w:hint="eastAsia"/>
                <w:kern w:val="0"/>
                <w:position w:val="-2"/>
                <w:szCs w:val="21"/>
              </w:rPr>
              <w:t>法定</w:t>
            </w:r>
            <w:r>
              <w:rPr>
                <w:rFonts w:hint="eastAsia"/>
                <w:spacing w:val="-2"/>
                <w:kern w:val="0"/>
                <w:position w:val="-2"/>
                <w:szCs w:val="21"/>
              </w:rPr>
              <w:t>代</w:t>
            </w:r>
            <w:r>
              <w:rPr>
                <w:rFonts w:hint="eastAsia"/>
                <w:kern w:val="0"/>
                <w:position w:val="-2"/>
                <w:szCs w:val="21"/>
              </w:rPr>
              <w:t>表</w:t>
            </w:r>
            <w:r>
              <w:rPr>
                <w:rFonts w:hint="eastAsia"/>
                <w:spacing w:val="-2"/>
                <w:kern w:val="0"/>
                <w:position w:val="-2"/>
                <w:szCs w:val="21"/>
              </w:rPr>
              <w:t>人</w:t>
            </w:r>
            <w:r>
              <w:rPr>
                <w:rFonts w:hint="eastAsia"/>
                <w:kern w:val="0"/>
                <w:position w:val="-2"/>
                <w:szCs w:val="21"/>
              </w:rPr>
              <w:t>或</w:t>
            </w:r>
            <w:r>
              <w:rPr>
                <w:rFonts w:hint="eastAsia"/>
                <w:spacing w:val="-2"/>
                <w:kern w:val="0"/>
                <w:position w:val="-2"/>
                <w:szCs w:val="21"/>
              </w:rPr>
              <w:t>其</w:t>
            </w:r>
            <w:r>
              <w:rPr>
                <w:rFonts w:hint="eastAsia"/>
                <w:kern w:val="0"/>
                <w:position w:val="-2"/>
                <w:szCs w:val="21"/>
              </w:rPr>
              <w:t>委</w:t>
            </w:r>
            <w:r>
              <w:rPr>
                <w:rFonts w:hint="eastAsia"/>
                <w:spacing w:val="-2"/>
                <w:kern w:val="0"/>
                <w:position w:val="-2"/>
                <w:szCs w:val="21"/>
              </w:rPr>
              <w:t>托</w:t>
            </w:r>
            <w:r>
              <w:rPr>
                <w:rFonts w:hint="eastAsia"/>
                <w:kern w:val="0"/>
                <w:position w:val="-2"/>
                <w:szCs w:val="21"/>
              </w:rPr>
              <w:t>代</w:t>
            </w:r>
            <w:r>
              <w:rPr>
                <w:rFonts w:hint="eastAsia"/>
                <w:spacing w:val="-2"/>
                <w:kern w:val="0"/>
                <w:position w:val="-2"/>
                <w:szCs w:val="21"/>
              </w:rPr>
              <w:t>理</w:t>
            </w:r>
            <w:r>
              <w:rPr>
                <w:rFonts w:hint="eastAsia"/>
                <w:kern w:val="0"/>
                <w:position w:val="-2"/>
                <w:szCs w:val="21"/>
              </w:rPr>
              <w:t>人：</w:t>
            </w:r>
            <w:r>
              <w:rPr>
                <w:rFonts w:hint="eastAsia"/>
                <w:spacing w:val="43"/>
                <w:kern w:val="0"/>
                <w:position w:val="-2"/>
                <w:szCs w:val="21"/>
                <w:u w:val="single"/>
              </w:rPr>
              <w:t xml:space="preserve"> </w:t>
            </w:r>
            <w:r>
              <w:rPr>
                <w:rFonts w:hint="eastAsia"/>
                <w:kern w:val="0"/>
                <w:position w:val="-2"/>
                <w:szCs w:val="21"/>
                <w:u w:val="single"/>
              </w:rPr>
              <w:t xml:space="preserve">   </w:t>
            </w:r>
            <w:r>
              <w:rPr>
                <w:rFonts w:hint="eastAsia"/>
                <w:kern w:val="0"/>
                <w:position w:val="-2"/>
                <w:szCs w:val="21"/>
              </w:rPr>
              <w:t>（签字或盖章）</w:t>
            </w:r>
          </w:p>
          <w:p w14:paraId="7AFA9BD7">
            <w:pPr>
              <w:tabs>
                <w:tab w:val="left" w:pos="7240"/>
              </w:tabs>
              <w:autoSpaceDE w:val="0"/>
              <w:autoSpaceDN w:val="0"/>
              <w:adjustRightInd w:val="0"/>
              <w:spacing w:line="360" w:lineRule="auto"/>
              <w:rPr>
                <w:rFonts w:hint="eastAsia"/>
                <w:kern w:val="0"/>
                <w:position w:val="-4"/>
                <w:szCs w:val="21"/>
              </w:rPr>
            </w:pPr>
          </w:p>
        </w:tc>
      </w:tr>
    </w:tbl>
    <w:p w14:paraId="659EDAC2">
      <w:pPr>
        <w:pStyle w:val="32"/>
        <w:spacing w:line="360" w:lineRule="auto"/>
        <w:rPr>
          <w:rFonts w:hint="eastAsia" w:ascii="宋体" w:hAnsi="宋体" w:cs="宋体"/>
        </w:rPr>
      </w:pPr>
    </w:p>
    <w:p w14:paraId="1A3B3E16">
      <w:pPr>
        <w:tabs>
          <w:tab w:val="left" w:pos="5380"/>
          <w:tab w:val="left" w:pos="6520"/>
          <w:tab w:val="left" w:pos="7680"/>
        </w:tabs>
        <w:autoSpaceDE w:val="0"/>
        <w:autoSpaceDN w:val="0"/>
        <w:adjustRightInd w:val="0"/>
        <w:spacing w:line="360" w:lineRule="auto"/>
        <w:ind w:right="-23"/>
        <w:jc w:val="center"/>
        <w:outlineLvl w:val="1"/>
        <w:rPr>
          <w:rFonts w:hint="eastAsia"/>
        </w:rPr>
        <w:sectPr>
          <w:pgSz w:w="11906" w:h="16838"/>
          <w:pgMar w:top="1440" w:right="1797" w:bottom="1247" w:left="1797" w:header="851" w:footer="992" w:gutter="0"/>
          <w:cols w:space="720" w:num="1"/>
          <w:docGrid w:type="linesAndChars" w:linePitch="312" w:charSpace="0"/>
        </w:sectPr>
      </w:pPr>
      <w:r>
        <w:rPr>
          <w:rFonts w:hint="eastAsia"/>
          <w:kern w:val="0"/>
          <w:szCs w:val="21"/>
          <w:u w:val="single"/>
        </w:rPr>
        <w:t xml:space="preserve">     </w:t>
      </w:r>
      <w:r>
        <w:rPr>
          <w:rFonts w:hint="eastAsia"/>
          <w:spacing w:val="43"/>
          <w:kern w:val="0"/>
          <w:szCs w:val="21"/>
          <w:u w:val="single"/>
        </w:rPr>
        <w:t xml:space="preserve"> </w:t>
      </w:r>
      <w:bookmarkStart w:id="808" w:name="_Toc4696"/>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bookmarkEnd w:id="808"/>
    </w:p>
    <w:p w14:paraId="6DC9A443">
      <w:pPr>
        <w:tabs>
          <w:tab w:val="left" w:pos="5380"/>
          <w:tab w:val="left" w:pos="6520"/>
          <w:tab w:val="left" w:pos="7680"/>
        </w:tabs>
        <w:autoSpaceDE w:val="0"/>
        <w:autoSpaceDN w:val="0"/>
        <w:adjustRightInd w:val="0"/>
        <w:spacing w:line="360" w:lineRule="auto"/>
        <w:ind w:right="-23"/>
        <w:jc w:val="center"/>
        <w:outlineLvl w:val="1"/>
        <w:rPr>
          <w:rFonts w:hint="eastAsia"/>
        </w:rPr>
      </w:pPr>
      <w:bookmarkStart w:id="809" w:name="_Toc11504"/>
      <w:r>
        <w:rPr>
          <w:rFonts w:hint="eastAsia"/>
          <w:b/>
          <w:sz w:val="24"/>
        </w:rPr>
        <w:t>六、技术偏差表</w:t>
      </w:r>
      <w:bookmarkEnd w:id="809"/>
    </w:p>
    <w:p w14:paraId="6BAF891C">
      <w:pPr>
        <w:spacing w:line="360" w:lineRule="auto"/>
        <w:rPr>
          <w:rFonts w:hint="eastAsia"/>
        </w:rPr>
      </w:pP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1138"/>
        <w:gridCol w:w="2512"/>
        <w:gridCol w:w="2427"/>
        <w:gridCol w:w="1745"/>
      </w:tblGrid>
      <w:tr w14:paraId="50D9E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vAlign w:val="center"/>
          </w:tcPr>
          <w:p w14:paraId="482BF13B">
            <w:pPr>
              <w:snapToGrid w:val="0"/>
              <w:spacing w:before="312" w:beforeLines="100" w:after="312" w:afterLines="100" w:line="360" w:lineRule="auto"/>
              <w:jc w:val="center"/>
              <w:rPr>
                <w:rFonts w:hint="eastAsia"/>
                <w:szCs w:val="21"/>
              </w:rPr>
            </w:pPr>
            <w:r>
              <w:rPr>
                <w:rFonts w:hint="eastAsia"/>
                <w:szCs w:val="21"/>
              </w:rPr>
              <w:t>序号</w:t>
            </w:r>
          </w:p>
        </w:tc>
        <w:tc>
          <w:tcPr>
            <w:tcW w:w="667" w:type="pct"/>
            <w:vAlign w:val="center"/>
          </w:tcPr>
          <w:p w14:paraId="58D23A3A">
            <w:pPr>
              <w:snapToGrid w:val="0"/>
              <w:spacing w:before="156" w:beforeLines="50" w:after="156" w:afterLines="50" w:line="360" w:lineRule="auto"/>
              <w:jc w:val="center"/>
              <w:rPr>
                <w:rFonts w:hint="eastAsia"/>
                <w:szCs w:val="21"/>
              </w:rPr>
            </w:pPr>
            <w:r>
              <w:rPr>
                <w:rFonts w:hint="eastAsia"/>
                <w:szCs w:val="21"/>
              </w:rPr>
              <w:t>招标文件条款号</w:t>
            </w:r>
          </w:p>
        </w:tc>
        <w:tc>
          <w:tcPr>
            <w:tcW w:w="1473" w:type="pct"/>
            <w:vAlign w:val="center"/>
          </w:tcPr>
          <w:p w14:paraId="14109C17">
            <w:pPr>
              <w:snapToGrid w:val="0"/>
              <w:spacing w:before="156" w:beforeLines="50" w:after="156" w:afterLines="50" w:line="360" w:lineRule="auto"/>
              <w:jc w:val="center"/>
              <w:rPr>
                <w:rFonts w:hint="eastAsia"/>
                <w:szCs w:val="21"/>
              </w:rPr>
            </w:pPr>
            <w:r>
              <w:rPr>
                <w:rFonts w:hint="eastAsia"/>
                <w:szCs w:val="21"/>
              </w:rPr>
              <w:t>招标文件技术需求</w:t>
            </w:r>
          </w:p>
        </w:tc>
        <w:tc>
          <w:tcPr>
            <w:tcW w:w="1423" w:type="pct"/>
            <w:vAlign w:val="center"/>
          </w:tcPr>
          <w:p w14:paraId="5C40C9BD">
            <w:pPr>
              <w:snapToGrid w:val="0"/>
              <w:spacing w:before="156" w:beforeLines="50" w:after="156" w:afterLines="50" w:line="360" w:lineRule="auto"/>
              <w:jc w:val="center"/>
              <w:rPr>
                <w:rFonts w:hint="eastAsia"/>
                <w:b/>
                <w:szCs w:val="21"/>
              </w:rPr>
            </w:pPr>
            <w:r>
              <w:rPr>
                <w:rFonts w:hint="eastAsia"/>
                <w:szCs w:val="21"/>
              </w:rPr>
              <w:t>投标文件响应技术需求说明书内容</w:t>
            </w:r>
          </w:p>
        </w:tc>
        <w:tc>
          <w:tcPr>
            <w:tcW w:w="1023" w:type="pct"/>
            <w:vAlign w:val="center"/>
          </w:tcPr>
          <w:p w14:paraId="3C883805">
            <w:pPr>
              <w:snapToGrid w:val="0"/>
              <w:spacing w:before="156" w:beforeLines="50" w:after="156" w:afterLines="50" w:line="360" w:lineRule="auto"/>
              <w:jc w:val="center"/>
              <w:rPr>
                <w:rFonts w:hint="eastAsia"/>
                <w:szCs w:val="21"/>
              </w:rPr>
            </w:pPr>
            <w:r>
              <w:rPr>
                <w:rFonts w:hint="eastAsia"/>
                <w:szCs w:val="21"/>
              </w:rPr>
              <w:t>偏差说明</w:t>
            </w:r>
          </w:p>
        </w:tc>
      </w:tr>
      <w:tr w14:paraId="1AB68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vAlign w:val="center"/>
          </w:tcPr>
          <w:p w14:paraId="51BCE6DC">
            <w:pPr>
              <w:snapToGrid w:val="0"/>
              <w:spacing w:before="312" w:beforeLines="100" w:after="312" w:afterLines="100" w:line="360" w:lineRule="auto"/>
              <w:jc w:val="center"/>
              <w:rPr>
                <w:rFonts w:hint="eastAsia"/>
                <w:szCs w:val="21"/>
              </w:rPr>
            </w:pPr>
            <w:r>
              <w:rPr>
                <w:rFonts w:hint="eastAsia"/>
                <w:szCs w:val="21"/>
              </w:rPr>
              <w:t>1</w:t>
            </w:r>
          </w:p>
        </w:tc>
        <w:tc>
          <w:tcPr>
            <w:tcW w:w="667" w:type="pct"/>
            <w:vAlign w:val="center"/>
          </w:tcPr>
          <w:p w14:paraId="56F174BD">
            <w:pPr>
              <w:spacing w:line="360" w:lineRule="auto"/>
              <w:jc w:val="center"/>
              <w:rPr>
                <w:rFonts w:hint="eastAsia"/>
                <w:szCs w:val="21"/>
              </w:rPr>
            </w:pPr>
          </w:p>
        </w:tc>
        <w:tc>
          <w:tcPr>
            <w:tcW w:w="1473" w:type="pct"/>
            <w:vAlign w:val="center"/>
          </w:tcPr>
          <w:p w14:paraId="0818694E">
            <w:pPr>
              <w:spacing w:line="360" w:lineRule="auto"/>
              <w:jc w:val="center"/>
              <w:rPr>
                <w:rFonts w:hint="eastAsia"/>
                <w:szCs w:val="21"/>
              </w:rPr>
            </w:pPr>
          </w:p>
        </w:tc>
        <w:tc>
          <w:tcPr>
            <w:tcW w:w="1423" w:type="pct"/>
            <w:vAlign w:val="center"/>
          </w:tcPr>
          <w:p w14:paraId="2B8C855E">
            <w:pPr>
              <w:spacing w:line="360" w:lineRule="auto"/>
              <w:jc w:val="center"/>
              <w:rPr>
                <w:rFonts w:hint="eastAsia"/>
                <w:szCs w:val="21"/>
              </w:rPr>
            </w:pPr>
          </w:p>
        </w:tc>
        <w:tc>
          <w:tcPr>
            <w:tcW w:w="1023" w:type="pct"/>
            <w:vAlign w:val="center"/>
          </w:tcPr>
          <w:p w14:paraId="48E52B2F">
            <w:pPr>
              <w:spacing w:line="360" w:lineRule="auto"/>
              <w:jc w:val="center"/>
              <w:rPr>
                <w:rFonts w:hint="eastAsia"/>
                <w:szCs w:val="21"/>
              </w:rPr>
            </w:pPr>
          </w:p>
        </w:tc>
      </w:tr>
      <w:tr w14:paraId="447B0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vAlign w:val="center"/>
          </w:tcPr>
          <w:p w14:paraId="6687FE55">
            <w:pPr>
              <w:snapToGrid w:val="0"/>
              <w:spacing w:before="312" w:beforeLines="100" w:after="312" w:afterLines="100" w:line="360" w:lineRule="auto"/>
              <w:jc w:val="center"/>
              <w:rPr>
                <w:rFonts w:hint="eastAsia"/>
                <w:szCs w:val="21"/>
              </w:rPr>
            </w:pPr>
            <w:r>
              <w:rPr>
                <w:rFonts w:hint="eastAsia"/>
                <w:szCs w:val="21"/>
              </w:rPr>
              <w:t>2</w:t>
            </w:r>
          </w:p>
        </w:tc>
        <w:tc>
          <w:tcPr>
            <w:tcW w:w="667" w:type="pct"/>
            <w:vAlign w:val="center"/>
          </w:tcPr>
          <w:p w14:paraId="0A34FD8A">
            <w:pPr>
              <w:spacing w:line="360" w:lineRule="auto"/>
              <w:jc w:val="center"/>
              <w:rPr>
                <w:rFonts w:hint="eastAsia"/>
                <w:szCs w:val="21"/>
              </w:rPr>
            </w:pPr>
          </w:p>
        </w:tc>
        <w:tc>
          <w:tcPr>
            <w:tcW w:w="1473" w:type="pct"/>
            <w:vAlign w:val="center"/>
          </w:tcPr>
          <w:p w14:paraId="2DEF57DF">
            <w:pPr>
              <w:spacing w:line="360" w:lineRule="auto"/>
              <w:jc w:val="center"/>
              <w:rPr>
                <w:rFonts w:hint="eastAsia"/>
                <w:szCs w:val="21"/>
              </w:rPr>
            </w:pPr>
          </w:p>
        </w:tc>
        <w:tc>
          <w:tcPr>
            <w:tcW w:w="1423" w:type="pct"/>
            <w:vAlign w:val="center"/>
          </w:tcPr>
          <w:p w14:paraId="520ADD74">
            <w:pPr>
              <w:spacing w:line="360" w:lineRule="auto"/>
              <w:jc w:val="center"/>
              <w:rPr>
                <w:rFonts w:hint="eastAsia"/>
                <w:szCs w:val="21"/>
              </w:rPr>
            </w:pPr>
          </w:p>
        </w:tc>
        <w:tc>
          <w:tcPr>
            <w:tcW w:w="1023" w:type="pct"/>
            <w:vAlign w:val="center"/>
          </w:tcPr>
          <w:p w14:paraId="05DE8402">
            <w:pPr>
              <w:spacing w:line="360" w:lineRule="auto"/>
              <w:jc w:val="center"/>
              <w:rPr>
                <w:rFonts w:hint="eastAsia"/>
                <w:szCs w:val="21"/>
              </w:rPr>
            </w:pPr>
          </w:p>
        </w:tc>
      </w:tr>
      <w:tr w14:paraId="3D7B9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vAlign w:val="center"/>
          </w:tcPr>
          <w:p w14:paraId="3E69E45F">
            <w:pPr>
              <w:snapToGrid w:val="0"/>
              <w:spacing w:before="312" w:beforeLines="100" w:after="312" w:afterLines="100" w:line="360" w:lineRule="auto"/>
              <w:jc w:val="center"/>
              <w:rPr>
                <w:rFonts w:hint="eastAsia"/>
                <w:szCs w:val="21"/>
              </w:rPr>
            </w:pPr>
            <w:r>
              <w:rPr>
                <w:rFonts w:hint="eastAsia"/>
                <w:szCs w:val="21"/>
              </w:rPr>
              <w:t>3</w:t>
            </w:r>
          </w:p>
        </w:tc>
        <w:tc>
          <w:tcPr>
            <w:tcW w:w="667" w:type="pct"/>
            <w:vAlign w:val="center"/>
          </w:tcPr>
          <w:p w14:paraId="7F6AD9DD">
            <w:pPr>
              <w:spacing w:line="360" w:lineRule="auto"/>
              <w:jc w:val="center"/>
              <w:rPr>
                <w:rFonts w:hint="eastAsia"/>
                <w:szCs w:val="21"/>
              </w:rPr>
            </w:pPr>
          </w:p>
        </w:tc>
        <w:tc>
          <w:tcPr>
            <w:tcW w:w="1473" w:type="pct"/>
            <w:vAlign w:val="center"/>
          </w:tcPr>
          <w:p w14:paraId="4134ECD2">
            <w:pPr>
              <w:spacing w:line="360" w:lineRule="auto"/>
              <w:jc w:val="center"/>
              <w:rPr>
                <w:rFonts w:hint="eastAsia"/>
                <w:szCs w:val="21"/>
              </w:rPr>
            </w:pPr>
          </w:p>
        </w:tc>
        <w:tc>
          <w:tcPr>
            <w:tcW w:w="1423" w:type="pct"/>
            <w:vAlign w:val="center"/>
          </w:tcPr>
          <w:p w14:paraId="266DFFBE">
            <w:pPr>
              <w:spacing w:line="360" w:lineRule="auto"/>
              <w:jc w:val="center"/>
              <w:rPr>
                <w:rFonts w:hint="eastAsia"/>
                <w:szCs w:val="21"/>
              </w:rPr>
            </w:pPr>
          </w:p>
        </w:tc>
        <w:tc>
          <w:tcPr>
            <w:tcW w:w="1023" w:type="pct"/>
            <w:vAlign w:val="center"/>
          </w:tcPr>
          <w:p w14:paraId="64F8F27D">
            <w:pPr>
              <w:spacing w:line="360" w:lineRule="auto"/>
              <w:jc w:val="center"/>
              <w:rPr>
                <w:rFonts w:hint="eastAsia"/>
                <w:szCs w:val="21"/>
              </w:rPr>
            </w:pPr>
          </w:p>
        </w:tc>
      </w:tr>
      <w:tr w14:paraId="17FD0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vAlign w:val="center"/>
          </w:tcPr>
          <w:p w14:paraId="49542350">
            <w:pPr>
              <w:snapToGrid w:val="0"/>
              <w:spacing w:before="312" w:beforeLines="100" w:after="312" w:afterLines="100" w:line="360" w:lineRule="auto"/>
              <w:jc w:val="center"/>
              <w:rPr>
                <w:rFonts w:hint="eastAsia"/>
                <w:szCs w:val="21"/>
              </w:rPr>
            </w:pPr>
            <w:r>
              <w:rPr>
                <w:rFonts w:hint="eastAsia"/>
                <w:szCs w:val="21"/>
              </w:rPr>
              <w:t>…</w:t>
            </w:r>
          </w:p>
        </w:tc>
        <w:tc>
          <w:tcPr>
            <w:tcW w:w="667" w:type="pct"/>
            <w:vAlign w:val="center"/>
          </w:tcPr>
          <w:p w14:paraId="3BDB97CB">
            <w:pPr>
              <w:spacing w:line="360" w:lineRule="auto"/>
              <w:jc w:val="center"/>
              <w:rPr>
                <w:rFonts w:hint="eastAsia"/>
                <w:szCs w:val="21"/>
              </w:rPr>
            </w:pPr>
          </w:p>
        </w:tc>
        <w:tc>
          <w:tcPr>
            <w:tcW w:w="1473" w:type="pct"/>
            <w:vAlign w:val="center"/>
          </w:tcPr>
          <w:p w14:paraId="725B1784">
            <w:pPr>
              <w:spacing w:line="360" w:lineRule="auto"/>
              <w:jc w:val="center"/>
              <w:rPr>
                <w:rFonts w:hint="eastAsia"/>
                <w:szCs w:val="21"/>
              </w:rPr>
            </w:pPr>
          </w:p>
        </w:tc>
        <w:tc>
          <w:tcPr>
            <w:tcW w:w="1423" w:type="pct"/>
            <w:vAlign w:val="center"/>
          </w:tcPr>
          <w:p w14:paraId="2BA21BD0">
            <w:pPr>
              <w:spacing w:line="360" w:lineRule="auto"/>
              <w:jc w:val="center"/>
              <w:rPr>
                <w:rFonts w:hint="eastAsia"/>
                <w:szCs w:val="21"/>
              </w:rPr>
            </w:pPr>
          </w:p>
        </w:tc>
        <w:tc>
          <w:tcPr>
            <w:tcW w:w="1023" w:type="pct"/>
            <w:vAlign w:val="center"/>
          </w:tcPr>
          <w:p w14:paraId="0511D3F5">
            <w:pPr>
              <w:spacing w:line="360" w:lineRule="auto"/>
              <w:jc w:val="center"/>
              <w:rPr>
                <w:rFonts w:hint="eastAsia"/>
                <w:szCs w:val="21"/>
              </w:rPr>
            </w:pPr>
          </w:p>
        </w:tc>
      </w:tr>
    </w:tbl>
    <w:p w14:paraId="60D6E166">
      <w:pPr>
        <w:pStyle w:val="35"/>
        <w:spacing w:after="0"/>
        <w:rPr>
          <w:rFonts w:hint="eastAsia"/>
          <w:szCs w:val="21"/>
        </w:rPr>
      </w:pPr>
    </w:p>
    <w:p w14:paraId="2E91F866">
      <w:pPr>
        <w:autoSpaceDE w:val="0"/>
        <w:autoSpaceDN w:val="0"/>
        <w:adjustRightInd w:val="0"/>
        <w:spacing w:line="360" w:lineRule="auto"/>
        <w:jc w:val="left"/>
        <w:rPr>
          <w:rFonts w:hint="eastAsia"/>
          <w:b/>
          <w:kern w:val="0"/>
          <w:szCs w:val="21"/>
        </w:rPr>
      </w:pPr>
      <w:r>
        <w:rPr>
          <w:rFonts w:hint="eastAsia"/>
          <w:szCs w:val="21"/>
        </w:rPr>
        <w:t>注：投标人保证：除技术条款偏差表列出的偏差外，投标人响应招标文件的全部要求。</w:t>
      </w:r>
    </w:p>
    <w:p w14:paraId="30F31B93">
      <w:pPr>
        <w:pStyle w:val="35"/>
        <w:spacing w:after="0"/>
        <w:ind w:firstLine="420" w:firstLineChars="200"/>
        <w:jc w:val="left"/>
        <w:rPr>
          <w:rFonts w:hint="eastAsia"/>
          <w:sz w:val="21"/>
          <w:szCs w:val="21"/>
        </w:rPr>
      </w:pPr>
    </w:p>
    <w:p w14:paraId="7975AAEB">
      <w:pPr>
        <w:pStyle w:val="21"/>
        <w:spacing w:line="360" w:lineRule="auto"/>
        <w:rPr>
          <w:rFonts w:hint="eastAsia" w:eastAsia="宋体"/>
        </w:rPr>
      </w:pPr>
    </w:p>
    <w:p w14:paraId="322AF561">
      <w:pPr>
        <w:spacing w:line="360" w:lineRule="auto"/>
        <w:ind w:firstLine="3360" w:firstLineChars="1600"/>
        <w:rPr>
          <w:rFonts w:hint="eastAsia"/>
          <w:bCs/>
          <w:szCs w:val="21"/>
        </w:rPr>
      </w:pPr>
      <w:r>
        <w:rPr>
          <w:rFonts w:hint="eastAsia"/>
          <w:kern w:val="0"/>
          <w:szCs w:val="21"/>
        </w:rPr>
        <w:t>投 标 人</w:t>
      </w:r>
      <w:r>
        <w:rPr>
          <w:rFonts w:hint="eastAsia"/>
          <w:bCs/>
          <w:szCs w:val="21"/>
        </w:rPr>
        <w:t>：</w:t>
      </w:r>
      <w:r>
        <w:rPr>
          <w:rFonts w:hint="eastAsia"/>
          <w:bCs/>
          <w:szCs w:val="21"/>
          <w:u w:val="single"/>
        </w:rPr>
        <w:t xml:space="preserve">                      </w:t>
      </w:r>
      <w:r>
        <w:rPr>
          <w:rFonts w:hint="eastAsia"/>
          <w:bCs/>
          <w:szCs w:val="21"/>
        </w:rPr>
        <w:t>（盖章）</w:t>
      </w:r>
    </w:p>
    <w:p w14:paraId="35145564">
      <w:pPr>
        <w:spacing w:line="360" w:lineRule="auto"/>
        <w:ind w:firstLine="3360" w:firstLineChars="16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681CBE49">
      <w:pPr>
        <w:tabs>
          <w:tab w:val="left" w:pos="5380"/>
          <w:tab w:val="left" w:pos="6520"/>
          <w:tab w:val="left" w:pos="7680"/>
        </w:tabs>
        <w:autoSpaceDE w:val="0"/>
        <w:autoSpaceDN w:val="0"/>
        <w:adjustRightInd w:val="0"/>
        <w:spacing w:line="360" w:lineRule="auto"/>
        <w:ind w:right="-23" w:firstLine="4620" w:firstLineChars="22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31BCD202">
      <w:pPr>
        <w:tabs>
          <w:tab w:val="left" w:pos="5380"/>
          <w:tab w:val="left" w:pos="6520"/>
          <w:tab w:val="left" w:pos="7680"/>
        </w:tabs>
        <w:autoSpaceDE w:val="0"/>
        <w:autoSpaceDN w:val="0"/>
        <w:adjustRightInd w:val="0"/>
        <w:spacing w:line="360" w:lineRule="auto"/>
        <w:ind w:right="-23" w:firstLine="4620" w:firstLineChars="2200"/>
        <w:jc w:val="left"/>
        <w:rPr>
          <w:rFonts w:hint="eastAsia"/>
          <w:bCs/>
          <w:kern w:val="0"/>
          <w:szCs w:val="21"/>
        </w:rPr>
      </w:pPr>
    </w:p>
    <w:p w14:paraId="33D16840">
      <w:pPr>
        <w:tabs>
          <w:tab w:val="left" w:pos="420"/>
        </w:tabs>
        <w:spacing w:line="360" w:lineRule="auto"/>
        <w:jc w:val="center"/>
        <w:outlineLvl w:val="1"/>
        <w:rPr>
          <w:rFonts w:hint="eastAsia"/>
          <w:b/>
          <w:kern w:val="0"/>
          <w:sz w:val="30"/>
          <w:szCs w:val="30"/>
        </w:rPr>
      </w:pPr>
      <w:r>
        <w:rPr>
          <w:rFonts w:hint="eastAsia"/>
          <w:szCs w:val="21"/>
        </w:rPr>
        <w:br w:type="page"/>
      </w:r>
      <w:bookmarkStart w:id="810" w:name="_Toc28469"/>
      <w:bookmarkStart w:id="811" w:name="_Toc14553"/>
      <w:bookmarkStart w:id="812" w:name="_Toc6615"/>
      <w:bookmarkStart w:id="813" w:name="_Toc5092"/>
      <w:bookmarkStart w:id="814" w:name="_Toc1360"/>
      <w:bookmarkStart w:id="815" w:name="_Toc9912"/>
      <w:bookmarkStart w:id="816" w:name="_Toc25342"/>
      <w:bookmarkStart w:id="817" w:name="_Toc1082"/>
      <w:bookmarkStart w:id="818" w:name="_Toc9583"/>
      <w:bookmarkStart w:id="819" w:name="_Toc8269"/>
      <w:bookmarkStart w:id="820" w:name="_Toc21398"/>
      <w:bookmarkStart w:id="821" w:name="_Toc13630"/>
      <w:bookmarkStart w:id="822" w:name="_Toc18833"/>
      <w:bookmarkStart w:id="823" w:name="_Toc312133600"/>
      <w:r>
        <w:rPr>
          <w:rFonts w:hint="eastAsia"/>
          <w:b/>
          <w:sz w:val="24"/>
        </w:rPr>
        <w:t>七、商务部分</w:t>
      </w:r>
      <w:bookmarkEnd w:id="810"/>
      <w:bookmarkEnd w:id="811"/>
    </w:p>
    <w:p w14:paraId="03992AB5">
      <w:pPr>
        <w:tabs>
          <w:tab w:val="left" w:pos="420"/>
        </w:tabs>
        <w:spacing w:line="360" w:lineRule="auto"/>
        <w:jc w:val="center"/>
        <w:rPr>
          <w:rFonts w:hint="eastAsia"/>
          <w:b/>
          <w:sz w:val="28"/>
        </w:rPr>
      </w:pPr>
      <w:bookmarkStart w:id="824" w:name="_Toc23939"/>
      <w:r>
        <w:rPr>
          <w:rFonts w:hint="eastAsia"/>
          <w:b/>
          <w:sz w:val="24"/>
        </w:rPr>
        <w:t>（一）合同业绩一览表</w:t>
      </w:r>
      <w:bookmarkEnd w:id="812"/>
      <w:bookmarkEnd w:id="813"/>
      <w:bookmarkEnd w:id="814"/>
      <w:bookmarkEnd w:id="815"/>
      <w:bookmarkEnd w:id="816"/>
      <w:bookmarkEnd w:id="817"/>
      <w:bookmarkEnd w:id="818"/>
      <w:bookmarkEnd w:id="819"/>
      <w:bookmarkEnd w:id="824"/>
    </w:p>
    <w:tbl>
      <w:tblPr>
        <w:tblStyle w:val="23"/>
        <w:tblW w:w="97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913"/>
        <w:gridCol w:w="1823"/>
        <w:gridCol w:w="1279"/>
        <w:gridCol w:w="1674"/>
        <w:gridCol w:w="1242"/>
        <w:gridCol w:w="1298"/>
      </w:tblGrid>
      <w:tr w14:paraId="69388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9"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260811DC">
            <w:pPr>
              <w:tabs>
                <w:tab w:val="left" w:pos="420"/>
              </w:tabs>
              <w:snapToGrid w:val="0"/>
              <w:spacing w:line="360" w:lineRule="auto"/>
              <w:jc w:val="center"/>
              <w:rPr>
                <w:rFonts w:hint="eastAsia"/>
                <w:szCs w:val="21"/>
              </w:rPr>
            </w:pPr>
            <w:r>
              <w:rPr>
                <w:rFonts w:hint="eastAsia"/>
                <w:szCs w:val="21"/>
              </w:rPr>
              <w:t>序号</w:t>
            </w:r>
          </w:p>
        </w:tc>
        <w:tc>
          <w:tcPr>
            <w:tcW w:w="1913" w:type="dxa"/>
            <w:tcBorders>
              <w:top w:val="single" w:color="auto" w:sz="4" w:space="0"/>
              <w:left w:val="single" w:color="auto" w:sz="4" w:space="0"/>
              <w:bottom w:val="single" w:color="auto" w:sz="4" w:space="0"/>
              <w:right w:val="single" w:color="auto" w:sz="4" w:space="0"/>
            </w:tcBorders>
            <w:vAlign w:val="center"/>
          </w:tcPr>
          <w:p w14:paraId="1EA1EFED">
            <w:pPr>
              <w:tabs>
                <w:tab w:val="left" w:pos="420"/>
              </w:tabs>
              <w:snapToGrid w:val="0"/>
              <w:spacing w:line="360" w:lineRule="auto"/>
              <w:jc w:val="center"/>
              <w:rPr>
                <w:rFonts w:hint="eastAsia"/>
                <w:szCs w:val="21"/>
              </w:rPr>
            </w:pPr>
            <w:r>
              <w:rPr>
                <w:rFonts w:hint="eastAsia"/>
                <w:szCs w:val="21"/>
              </w:rPr>
              <w:t>项目名称</w:t>
            </w:r>
          </w:p>
        </w:tc>
        <w:tc>
          <w:tcPr>
            <w:tcW w:w="1823" w:type="dxa"/>
            <w:tcBorders>
              <w:top w:val="single" w:color="auto" w:sz="4" w:space="0"/>
              <w:left w:val="single" w:color="auto" w:sz="4" w:space="0"/>
              <w:bottom w:val="single" w:color="auto" w:sz="4" w:space="0"/>
              <w:right w:val="single" w:color="auto" w:sz="4" w:space="0"/>
            </w:tcBorders>
            <w:vAlign w:val="center"/>
          </w:tcPr>
          <w:p w14:paraId="457E2A1E">
            <w:pPr>
              <w:tabs>
                <w:tab w:val="left" w:pos="420"/>
              </w:tabs>
              <w:snapToGrid w:val="0"/>
              <w:spacing w:line="360" w:lineRule="auto"/>
              <w:jc w:val="center"/>
              <w:rPr>
                <w:rFonts w:hint="eastAsia"/>
                <w:szCs w:val="21"/>
              </w:rPr>
            </w:pPr>
            <w:r>
              <w:rPr>
                <w:rFonts w:hint="eastAsia"/>
                <w:szCs w:val="21"/>
              </w:rPr>
              <w:t>采购单位名称</w:t>
            </w:r>
          </w:p>
        </w:tc>
        <w:tc>
          <w:tcPr>
            <w:tcW w:w="1279" w:type="dxa"/>
            <w:tcBorders>
              <w:top w:val="single" w:color="auto" w:sz="4" w:space="0"/>
              <w:left w:val="single" w:color="auto" w:sz="4" w:space="0"/>
              <w:bottom w:val="single" w:color="auto" w:sz="4" w:space="0"/>
              <w:right w:val="single" w:color="auto" w:sz="4" w:space="0"/>
            </w:tcBorders>
            <w:vAlign w:val="center"/>
          </w:tcPr>
          <w:p w14:paraId="1422A4A2">
            <w:pPr>
              <w:tabs>
                <w:tab w:val="left" w:pos="420"/>
              </w:tabs>
              <w:snapToGrid w:val="0"/>
              <w:spacing w:line="360" w:lineRule="auto"/>
              <w:jc w:val="center"/>
              <w:rPr>
                <w:rFonts w:hint="eastAsia"/>
                <w:szCs w:val="21"/>
              </w:rPr>
            </w:pPr>
            <w:r>
              <w:rPr>
                <w:rFonts w:hint="eastAsia"/>
                <w:szCs w:val="21"/>
              </w:rPr>
              <w:t>合同金额</w:t>
            </w:r>
          </w:p>
          <w:p w14:paraId="10128544">
            <w:pPr>
              <w:tabs>
                <w:tab w:val="left" w:pos="420"/>
              </w:tabs>
              <w:snapToGrid w:val="0"/>
              <w:spacing w:line="360" w:lineRule="auto"/>
              <w:jc w:val="center"/>
              <w:rPr>
                <w:rFonts w:hint="eastAsia"/>
                <w:szCs w:val="21"/>
              </w:rPr>
            </w:pPr>
            <w:r>
              <w:rPr>
                <w:rFonts w:hint="eastAsia"/>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14:paraId="318F2DD6">
            <w:pPr>
              <w:tabs>
                <w:tab w:val="left" w:pos="420"/>
              </w:tabs>
              <w:snapToGrid w:val="0"/>
              <w:spacing w:line="360" w:lineRule="auto"/>
              <w:jc w:val="center"/>
              <w:rPr>
                <w:rFonts w:hint="eastAsia"/>
                <w:szCs w:val="21"/>
              </w:rPr>
            </w:pPr>
            <w:r>
              <w:rPr>
                <w:rFonts w:hint="eastAsia"/>
                <w:szCs w:val="21"/>
              </w:rPr>
              <w:t>采购单位联系人及联系电话</w:t>
            </w:r>
          </w:p>
        </w:tc>
        <w:tc>
          <w:tcPr>
            <w:tcW w:w="1242" w:type="dxa"/>
            <w:tcBorders>
              <w:top w:val="single" w:color="auto" w:sz="4" w:space="0"/>
              <w:left w:val="single" w:color="auto" w:sz="4" w:space="0"/>
              <w:bottom w:val="single" w:color="auto" w:sz="4" w:space="0"/>
              <w:right w:val="single" w:color="auto" w:sz="4" w:space="0"/>
            </w:tcBorders>
            <w:vAlign w:val="center"/>
          </w:tcPr>
          <w:p w14:paraId="5CDE440E">
            <w:pPr>
              <w:tabs>
                <w:tab w:val="left" w:pos="420"/>
              </w:tabs>
              <w:snapToGrid w:val="0"/>
              <w:spacing w:line="360" w:lineRule="auto"/>
              <w:jc w:val="center"/>
              <w:rPr>
                <w:rFonts w:hint="eastAsia"/>
                <w:szCs w:val="21"/>
              </w:rPr>
            </w:pPr>
            <w:r>
              <w:rPr>
                <w:rFonts w:hint="eastAsia"/>
                <w:szCs w:val="21"/>
              </w:rPr>
              <w:t>中标时间</w:t>
            </w:r>
          </w:p>
        </w:tc>
        <w:tc>
          <w:tcPr>
            <w:tcW w:w="1298" w:type="dxa"/>
            <w:tcBorders>
              <w:top w:val="single" w:color="auto" w:sz="4" w:space="0"/>
              <w:left w:val="single" w:color="auto" w:sz="4" w:space="0"/>
              <w:bottom w:val="single" w:color="auto" w:sz="4" w:space="0"/>
              <w:right w:val="single" w:color="auto" w:sz="4" w:space="0"/>
            </w:tcBorders>
            <w:vAlign w:val="center"/>
          </w:tcPr>
          <w:p w14:paraId="55E5BAB4">
            <w:pPr>
              <w:tabs>
                <w:tab w:val="left" w:pos="420"/>
              </w:tabs>
              <w:snapToGrid w:val="0"/>
              <w:spacing w:line="360" w:lineRule="auto"/>
              <w:jc w:val="center"/>
              <w:rPr>
                <w:rFonts w:hint="eastAsia"/>
                <w:szCs w:val="21"/>
              </w:rPr>
            </w:pPr>
            <w:r>
              <w:rPr>
                <w:rFonts w:hint="eastAsia"/>
                <w:szCs w:val="21"/>
              </w:rPr>
              <w:t>合同签订时间</w:t>
            </w:r>
          </w:p>
        </w:tc>
      </w:tr>
      <w:tr w14:paraId="17F76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37D1C917">
            <w:pPr>
              <w:tabs>
                <w:tab w:val="left" w:pos="420"/>
              </w:tabs>
              <w:snapToGrid w:val="0"/>
              <w:spacing w:line="360" w:lineRule="auto"/>
              <w:jc w:val="center"/>
              <w:rPr>
                <w:rFonts w:hint="eastAsia"/>
                <w:sz w:val="18"/>
                <w:szCs w:val="20"/>
              </w:rPr>
            </w:pPr>
          </w:p>
        </w:tc>
        <w:tc>
          <w:tcPr>
            <w:tcW w:w="1913" w:type="dxa"/>
            <w:tcBorders>
              <w:top w:val="single" w:color="auto" w:sz="4" w:space="0"/>
              <w:left w:val="single" w:color="auto" w:sz="4" w:space="0"/>
              <w:bottom w:val="single" w:color="auto" w:sz="4" w:space="0"/>
              <w:right w:val="single" w:color="auto" w:sz="4" w:space="0"/>
            </w:tcBorders>
            <w:vAlign w:val="center"/>
          </w:tcPr>
          <w:p w14:paraId="061C5BC3">
            <w:pPr>
              <w:tabs>
                <w:tab w:val="left" w:pos="420"/>
              </w:tabs>
              <w:snapToGrid w:val="0"/>
              <w:spacing w:line="360" w:lineRule="auto"/>
              <w:jc w:val="center"/>
              <w:rPr>
                <w:rFonts w:hint="eastAsia"/>
                <w:sz w:val="18"/>
                <w:szCs w:val="20"/>
              </w:rPr>
            </w:pPr>
          </w:p>
        </w:tc>
        <w:tc>
          <w:tcPr>
            <w:tcW w:w="1823" w:type="dxa"/>
            <w:tcBorders>
              <w:top w:val="single" w:color="auto" w:sz="4" w:space="0"/>
              <w:left w:val="single" w:color="auto" w:sz="4" w:space="0"/>
              <w:bottom w:val="single" w:color="auto" w:sz="4" w:space="0"/>
              <w:right w:val="single" w:color="auto" w:sz="4" w:space="0"/>
            </w:tcBorders>
            <w:vAlign w:val="center"/>
          </w:tcPr>
          <w:p w14:paraId="08F90A9B">
            <w:pPr>
              <w:tabs>
                <w:tab w:val="left" w:pos="420"/>
              </w:tabs>
              <w:snapToGrid w:val="0"/>
              <w:spacing w:line="360" w:lineRule="auto"/>
              <w:jc w:val="center"/>
              <w:rPr>
                <w:rFonts w:hint="eastAsia"/>
                <w:sz w:val="18"/>
                <w:szCs w:val="20"/>
              </w:rPr>
            </w:pPr>
          </w:p>
        </w:tc>
        <w:tc>
          <w:tcPr>
            <w:tcW w:w="1279" w:type="dxa"/>
            <w:tcBorders>
              <w:top w:val="single" w:color="auto" w:sz="4" w:space="0"/>
              <w:left w:val="single" w:color="auto" w:sz="4" w:space="0"/>
              <w:bottom w:val="single" w:color="auto" w:sz="4" w:space="0"/>
              <w:right w:val="single" w:color="auto" w:sz="4" w:space="0"/>
            </w:tcBorders>
            <w:vAlign w:val="center"/>
          </w:tcPr>
          <w:p w14:paraId="551889B7">
            <w:pPr>
              <w:tabs>
                <w:tab w:val="left" w:pos="420"/>
              </w:tabs>
              <w:snapToGrid w:val="0"/>
              <w:spacing w:line="360" w:lineRule="auto"/>
              <w:jc w:val="center"/>
              <w:rPr>
                <w:rFonts w:hint="eastAsia"/>
                <w:sz w:val="18"/>
                <w:szCs w:val="20"/>
              </w:rPr>
            </w:pPr>
          </w:p>
        </w:tc>
        <w:tc>
          <w:tcPr>
            <w:tcW w:w="1674" w:type="dxa"/>
            <w:tcBorders>
              <w:top w:val="single" w:color="auto" w:sz="4" w:space="0"/>
              <w:left w:val="single" w:color="auto" w:sz="4" w:space="0"/>
              <w:bottom w:val="single" w:color="auto" w:sz="4" w:space="0"/>
              <w:right w:val="single" w:color="auto" w:sz="4" w:space="0"/>
            </w:tcBorders>
            <w:vAlign w:val="center"/>
          </w:tcPr>
          <w:p w14:paraId="29680E2B">
            <w:pPr>
              <w:tabs>
                <w:tab w:val="left" w:pos="420"/>
              </w:tabs>
              <w:snapToGrid w:val="0"/>
              <w:spacing w:line="360" w:lineRule="auto"/>
              <w:jc w:val="center"/>
              <w:rPr>
                <w:rFonts w:hint="eastAsia"/>
                <w:sz w:val="18"/>
                <w:szCs w:val="20"/>
              </w:rPr>
            </w:pPr>
          </w:p>
        </w:tc>
        <w:tc>
          <w:tcPr>
            <w:tcW w:w="1242" w:type="dxa"/>
            <w:tcBorders>
              <w:top w:val="single" w:color="auto" w:sz="4" w:space="0"/>
              <w:left w:val="single" w:color="auto" w:sz="4" w:space="0"/>
              <w:bottom w:val="single" w:color="auto" w:sz="4" w:space="0"/>
              <w:right w:val="single" w:color="auto" w:sz="4" w:space="0"/>
            </w:tcBorders>
            <w:vAlign w:val="center"/>
          </w:tcPr>
          <w:p w14:paraId="17F4558D">
            <w:pPr>
              <w:tabs>
                <w:tab w:val="left" w:pos="420"/>
              </w:tabs>
              <w:snapToGrid w:val="0"/>
              <w:spacing w:line="360" w:lineRule="auto"/>
              <w:jc w:val="center"/>
              <w:rPr>
                <w:rFonts w:hint="eastAsia"/>
                <w:sz w:val="18"/>
                <w:szCs w:val="20"/>
              </w:rPr>
            </w:pPr>
          </w:p>
        </w:tc>
        <w:tc>
          <w:tcPr>
            <w:tcW w:w="1298" w:type="dxa"/>
            <w:tcBorders>
              <w:top w:val="single" w:color="auto" w:sz="4" w:space="0"/>
              <w:left w:val="single" w:color="auto" w:sz="4" w:space="0"/>
              <w:bottom w:val="single" w:color="auto" w:sz="4" w:space="0"/>
              <w:right w:val="single" w:color="auto" w:sz="4" w:space="0"/>
            </w:tcBorders>
            <w:vAlign w:val="center"/>
          </w:tcPr>
          <w:p w14:paraId="1382B21B">
            <w:pPr>
              <w:tabs>
                <w:tab w:val="left" w:pos="420"/>
              </w:tabs>
              <w:snapToGrid w:val="0"/>
              <w:spacing w:line="360" w:lineRule="auto"/>
              <w:jc w:val="center"/>
              <w:rPr>
                <w:rFonts w:hint="eastAsia"/>
                <w:sz w:val="18"/>
                <w:szCs w:val="20"/>
              </w:rPr>
            </w:pPr>
          </w:p>
        </w:tc>
      </w:tr>
      <w:tr w14:paraId="078D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09F382AB">
            <w:pPr>
              <w:tabs>
                <w:tab w:val="left" w:pos="420"/>
              </w:tabs>
              <w:snapToGrid w:val="0"/>
              <w:spacing w:line="360" w:lineRule="auto"/>
              <w:jc w:val="center"/>
              <w:rPr>
                <w:rFonts w:hint="eastAsia"/>
                <w:sz w:val="18"/>
                <w:szCs w:val="20"/>
              </w:rPr>
            </w:pPr>
          </w:p>
        </w:tc>
        <w:tc>
          <w:tcPr>
            <w:tcW w:w="1913" w:type="dxa"/>
            <w:tcBorders>
              <w:top w:val="single" w:color="auto" w:sz="4" w:space="0"/>
              <w:left w:val="single" w:color="auto" w:sz="4" w:space="0"/>
              <w:bottom w:val="single" w:color="auto" w:sz="4" w:space="0"/>
              <w:right w:val="single" w:color="auto" w:sz="4" w:space="0"/>
            </w:tcBorders>
            <w:vAlign w:val="center"/>
          </w:tcPr>
          <w:p w14:paraId="5DE8965D">
            <w:pPr>
              <w:tabs>
                <w:tab w:val="left" w:pos="420"/>
              </w:tabs>
              <w:snapToGrid w:val="0"/>
              <w:spacing w:line="360" w:lineRule="auto"/>
              <w:jc w:val="center"/>
              <w:rPr>
                <w:rFonts w:hint="eastAsia"/>
                <w:sz w:val="18"/>
                <w:szCs w:val="20"/>
              </w:rPr>
            </w:pPr>
          </w:p>
        </w:tc>
        <w:tc>
          <w:tcPr>
            <w:tcW w:w="1823" w:type="dxa"/>
            <w:tcBorders>
              <w:top w:val="single" w:color="auto" w:sz="4" w:space="0"/>
              <w:left w:val="single" w:color="auto" w:sz="4" w:space="0"/>
              <w:bottom w:val="single" w:color="auto" w:sz="4" w:space="0"/>
              <w:right w:val="single" w:color="auto" w:sz="4" w:space="0"/>
            </w:tcBorders>
            <w:vAlign w:val="center"/>
          </w:tcPr>
          <w:p w14:paraId="3EDD4920">
            <w:pPr>
              <w:tabs>
                <w:tab w:val="left" w:pos="420"/>
              </w:tabs>
              <w:snapToGrid w:val="0"/>
              <w:spacing w:line="360" w:lineRule="auto"/>
              <w:jc w:val="center"/>
              <w:rPr>
                <w:rFonts w:hint="eastAsia"/>
                <w:sz w:val="18"/>
                <w:szCs w:val="20"/>
              </w:rPr>
            </w:pPr>
          </w:p>
        </w:tc>
        <w:tc>
          <w:tcPr>
            <w:tcW w:w="1279" w:type="dxa"/>
            <w:tcBorders>
              <w:top w:val="single" w:color="auto" w:sz="4" w:space="0"/>
              <w:left w:val="single" w:color="auto" w:sz="4" w:space="0"/>
              <w:bottom w:val="single" w:color="auto" w:sz="4" w:space="0"/>
              <w:right w:val="single" w:color="auto" w:sz="4" w:space="0"/>
            </w:tcBorders>
            <w:vAlign w:val="center"/>
          </w:tcPr>
          <w:p w14:paraId="4A4B1436">
            <w:pPr>
              <w:tabs>
                <w:tab w:val="left" w:pos="420"/>
              </w:tabs>
              <w:snapToGrid w:val="0"/>
              <w:spacing w:line="360" w:lineRule="auto"/>
              <w:jc w:val="center"/>
              <w:rPr>
                <w:rFonts w:hint="eastAsia"/>
                <w:sz w:val="18"/>
                <w:szCs w:val="20"/>
              </w:rPr>
            </w:pPr>
          </w:p>
        </w:tc>
        <w:tc>
          <w:tcPr>
            <w:tcW w:w="1674" w:type="dxa"/>
            <w:tcBorders>
              <w:top w:val="single" w:color="auto" w:sz="4" w:space="0"/>
              <w:left w:val="single" w:color="auto" w:sz="4" w:space="0"/>
              <w:bottom w:val="single" w:color="auto" w:sz="4" w:space="0"/>
              <w:right w:val="single" w:color="auto" w:sz="4" w:space="0"/>
            </w:tcBorders>
            <w:vAlign w:val="center"/>
          </w:tcPr>
          <w:p w14:paraId="3D532F50">
            <w:pPr>
              <w:tabs>
                <w:tab w:val="left" w:pos="420"/>
              </w:tabs>
              <w:snapToGrid w:val="0"/>
              <w:spacing w:line="360" w:lineRule="auto"/>
              <w:jc w:val="center"/>
              <w:rPr>
                <w:rFonts w:hint="eastAsia"/>
                <w:sz w:val="18"/>
                <w:szCs w:val="20"/>
              </w:rPr>
            </w:pPr>
          </w:p>
        </w:tc>
        <w:tc>
          <w:tcPr>
            <w:tcW w:w="1242" w:type="dxa"/>
            <w:tcBorders>
              <w:top w:val="single" w:color="auto" w:sz="4" w:space="0"/>
              <w:left w:val="single" w:color="auto" w:sz="4" w:space="0"/>
              <w:bottom w:val="single" w:color="auto" w:sz="4" w:space="0"/>
              <w:right w:val="single" w:color="auto" w:sz="4" w:space="0"/>
            </w:tcBorders>
            <w:vAlign w:val="center"/>
          </w:tcPr>
          <w:p w14:paraId="3B4AE5C8">
            <w:pPr>
              <w:tabs>
                <w:tab w:val="left" w:pos="420"/>
              </w:tabs>
              <w:snapToGrid w:val="0"/>
              <w:spacing w:line="360" w:lineRule="auto"/>
              <w:jc w:val="center"/>
              <w:rPr>
                <w:rFonts w:hint="eastAsia"/>
                <w:sz w:val="18"/>
                <w:szCs w:val="20"/>
              </w:rPr>
            </w:pPr>
          </w:p>
        </w:tc>
        <w:tc>
          <w:tcPr>
            <w:tcW w:w="1298" w:type="dxa"/>
            <w:tcBorders>
              <w:top w:val="single" w:color="auto" w:sz="4" w:space="0"/>
              <w:left w:val="single" w:color="auto" w:sz="4" w:space="0"/>
              <w:bottom w:val="single" w:color="auto" w:sz="4" w:space="0"/>
              <w:right w:val="single" w:color="auto" w:sz="4" w:space="0"/>
            </w:tcBorders>
            <w:vAlign w:val="center"/>
          </w:tcPr>
          <w:p w14:paraId="435DFBB4">
            <w:pPr>
              <w:tabs>
                <w:tab w:val="left" w:pos="420"/>
              </w:tabs>
              <w:snapToGrid w:val="0"/>
              <w:spacing w:line="360" w:lineRule="auto"/>
              <w:jc w:val="center"/>
              <w:rPr>
                <w:rFonts w:hint="eastAsia"/>
                <w:sz w:val="18"/>
                <w:szCs w:val="20"/>
              </w:rPr>
            </w:pPr>
          </w:p>
        </w:tc>
      </w:tr>
      <w:tr w14:paraId="4EC9C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6D6009F5">
            <w:pPr>
              <w:tabs>
                <w:tab w:val="left" w:pos="420"/>
              </w:tabs>
              <w:snapToGrid w:val="0"/>
              <w:spacing w:before="50" w:after="156" w:afterLines="50" w:line="360" w:lineRule="auto"/>
              <w:jc w:val="center"/>
              <w:rPr>
                <w:rFonts w:hint="eastAsia"/>
                <w:sz w:val="24"/>
                <w:szCs w:val="20"/>
              </w:rPr>
            </w:pPr>
          </w:p>
        </w:tc>
        <w:tc>
          <w:tcPr>
            <w:tcW w:w="1913" w:type="dxa"/>
            <w:tcBorders>
              <w:top w:val="single" w:color="auto" w:sz="4" w:space="0"/>
              <w:left w:val="single" w:color="auto" w:sz="4" w:space="0"/>
              <w:bottom w:val="single" w:color="auto" w:sz="4" w:space="0"/>
              <w:right w:val="single" w:color="auto" w:sz="4" w:space="0"/>
            </w:tcBorders>
            <w:vAlign w:val="center"/>
          </w:tcPr>
          <w:p w14:paraId="186AEFFF">
            <w:pPr>
              <w:tabs>
                <w:tab w:val="left" w:pos="420"/>
              </w:tabs>
              <w:snapToGrid w:val="0"/>
              <w:spacing w:before="50" w:after="156" w:afterLines="50" w:line="360" w:lineRule="auto"/>
              <w:jc w:val="center"/>
              <w:rPr>
                <w:rFonts w:hint="eastAsia"/>
                <w:sz w:val="24"/>
                <w:szCs w:val="20"/>
              </w:rPr>
            </w:pPr>
          </w:p>
        </w:tc>
        <w:tc>
          <w:tcPr>
            <w:tcW w:w="1823" w:type="dxa"/>
            <w:tcBorders>
              <w:top w:val="single" w:color="auto" w:sz="4" w:space="0"/>
              <w:left w:val="single" w:color="auto" w:sz="4" w:space="0"/>
              <w:bottom w:val="single" w:color="auto" w:sz="4" w:space="0"/>
              <w:right w:val="single" w:color="auto" w:sz="4" w:space="0"/>
            </w:tcBorders>
            <w:vAlign w:val="center"/>
          </w:tcPr>
          <w:p w14:paraId="5985C401">
            <w:pPr>
              <w:tabs>
                <w:tab w:val="left" w:pos="420"/>
              </w:tabs>
              <w:snapToGrid w:val="0"/>
              <w:spacing w:before="50" w:after="156" w:afterLines="50" w:line="360" w:lineRule="auto"/>
              <w:jc w:val="center"/>
              <w:rPr>
                <w:rFonts w:hint="eastAsia"/>
                <w:sz w:val="24"/>
                <w:szCs w:val="20"/>
              </w:rPr>
            </w:pPr>
          </w:p>
        </w:tc>
        <w:tc>
          <w:tcPr>
            <w:tcW w:w="1279" w:type="dxa"/>
            <w:tcBorders>
              <w:top w:val="single" w:color="auto" w:sz="4" w:space="0"/>
              <w:left w:val="single" w:color="auto" w:sz="4" w:space="0"/>
              <w:bottom w:val="single" w:color="auto" w:sz="4" w:space="0"/>
              <w:right w:val="single" w:color="auto" w:sz="4" w:space="0"/>
            </w:tcBorders>
            <w:vAlign w:val="center"/>
          </w:tcPr>
          <w:p w14:paraId="7BBD474E">
            <w:pPr>
              <w:tabs>
                <w:tab w:val="left" w:pos="420"/>
              </w:tabs>
              <w:snapToGrid w:val="0"/>
              <w:spacing w:before="50" w:after="156" w:afterLines="50" w:line="360" w:lineRule="auto"/>
              <w:jc w:val="center"/>
              <w:rPr>
                <w:rFonts w:hint="eastAsia"/>
                <w:sz w:val="24"/>
                <w:szCs w:val="20"/>
              </w:rPr>
            </w:pPr>
          </w:p>
        </w:tc>
        <w:tc>
          <w:tcPr>
            <w:tcW w:w="1674" w:type="dxa"/>
            <w:tcBorders>
              <w:top w:val="single" w:color="auto" w:sz="4" w:space="0"/>
              <w:left w:val="single" w:color="auto" w:sz="4" w:space="0"/>
              <w:bottom w:val="single" w:color="auto" w:sz="4" w:space="0"/>
              <w:right w:val="single" w:color="auto" w:sz="4" w:space="0"/>
            </w:tcBorders>
            <w:vAlign w:val="center"/>
          </w:tcPr>
          <w:p w14:paraId="27657F96">
            <w:pPr>
              <w:tabs>
                <w:tab w:val="left" w:pos="420"/>
              </w:tabs>
              <w:snapToGrid w:val="0"/>
              <w:spacing w:before="50" w:after="156" w:afterLines="50" w:line="360" w:lineRule="auto"/>
              <w:jc w:val="center"/>
              <w:rPr>
                <w:rFonts w:hint="eastAsia"/>
                <w:sz w:val="24"/>
                <w:szCs w:val="20"/>
              </w:rPr>
            </w:pPr>
          </w:p>
        </w:tc>
        <w:tc>
          <w:tcPr>
            <w:tcW w:w="1242" w:type="dxa"/>
            <w:tcBorders>
              <w:top w:val="single" w:color="auto" w:sz="4" w:space="0"/>
              <w:left w:val="single" w:color="auto" w:sz="4" w:space="0"/>
              <w:bottom w:val="single" w:color="auto" w:sz="4" w:space="0"/>
              <w:right w:val="single" w:color="auto" w:sz="4" w:space="0"/>
            </w:tcBorders>
            <w:vAlign w:val="center"/>
          </w:tcPr>
          <w:p w14:paraId="7BDC67E5">
            <w:pPr>
              <w:tabs>
                <w:tab w:val="left" w:pos="420"/>
              </w:tabs>
              <w:snapToGrid w:val="0"/>
              <w:spacing w:before="50" w:after="156" w:afterLines="50" w:line="360" w:lineRule="auto"/>
              <w:jc w:val="center"/>
              <w:rPr>
                <w:rFonts w:hint="eastAsia"/>
                <w:sz w:val="24"/>
                <w:szCs w:val="20"/>
              </w:rPr>
            </w:pPr>
          </w:p>
        </w:tc>
        <w:tc>
          <w:tcPr>
            <w:tcW w:w="1298" w:type="dxa"/>
            <w:tcBorders>
              <w:top w:val="single" w:color="auto" w:sz="4" w:space="0"/>
              <w:left w:val="single" w:color="auto" w:sz="4" w:space="0"/>
              <w:bottom w:val="single" w:color="auto" w:sz="4" w:space="0"/>
              <w:right w:val="single" w:color="auto" w:sz="4" w:space="0"/>
            </w:tcBorders>
            <w:vAlign w:val="center"/>
          </w:tcPr>
          <w:p w14:paraId="518AA431">
            <w:pPr>
              <w:tabs>
                <w:tab w:val="left" w:pos="420"/>
              </w:tabs>
              <w:snapToGrid w:val="0"/>
              <w:spacing w:before="50" w:after="156" w:afterLines="50" w:line="360" w:lineRule="auto"/>
              <w:jc w:val="center"/>
              <w:rPr>
                <w:rFonts w:hint="eastAsia"/>
                <w:sz w:val="24"/>
                <w:szCs w:val="20"/>
              </w:rPr>
            </w:pPr>
          </w:p>
        </w:tc>
      </w:tr>
      <w:tr w14:paraId="017F2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2E5C6E7E">
            <w:pPr>
              <w:tabs>
                <w:tab w:val="left" w:pos="420"/>
              </w:tabs>
              <w:snapToGrid w:val="0"/>
              <w:spacing w:before="50" w:after="156" w:afterLines="50" w:line="360" w:lineRule="auto"/>
              <w:jc w:val="center"/>
              <w:rPr>
                <w:rFonts w:hint="eastAsia"/>
                <w:sz w:val="24"/>
                <w:szCs w:val="20"/>
              </w:rPr>
            </w:pPr>
          </w:p>
        </w:tc>
        <w:tc>
          <w:tcPr>
            <w:tcW w:w="1913" w:type="dxa"/>
            <w:tcBorders>
              <w:top w:val="single" w:color="auto" w:sz="4" w:space="0"/>
              <w:left w:val="single" w:color="auto" w:sz="4" w:space="0"/>
              <w:bottom w:val="single" w:color="auto" w:sz="4" w:space="0"/>
              <w:right w:val="single" w:color="auto" w:sz="4" w:space="0"/>
            </w:tcBorders>
            <w:vAlign w:val="center"/>
          </w:tcPr>
          <w:p w14:paraId="2B07A015">
            <w:pPr>
              <w:tabs>
                <w:tab w:val="left" w:pos="420"/>
              </w:tabs>
              <w:snapToGrid w:val="0"/>
              <w:spacing w:before="50" w:after="156" w:afterLines="50" w:line="360" w:lineRule="auto"/>
              <w:jc w:val="center"/>
              <w:rPr>
                <w:rFonts w:hint="eastAsia"/>
                <w:sz w:val="24"/>
                <w:szCs w:val="20"/>
              </w:rPr>
            </w:pPr>
          </w:p>
        </w:tc>
        <w:tc>
          <w:tcPr>
            <w:tcW w:w="1823" w:type="dxa"/>
            <w:tcBorders>
              <w:top w:val="single" w:color="auto" w:sz="4" w:space="0"/>
              <w:left w:val="single" w:color="auto" w:sz="4" w:space="0"/>
              <w:bottom w:val="single" w:color="auto" w:sz="4" w:space="0"/>
              <w:right w:val="single" w:color="auto" w:sz="4" w:space="0"/>
            </w:tcBorders>
            <w:vAlign w:val="center"/>
          </w:tcPr>
          <w:p w14:paraId="5E9503F8">
            <w:pPr>
              <w:tabs>
                <w:tab w:val="left" w:pos="420"/>
              </w:tabs>
              <w:snapToGrid w:val="0"/>
              <w:spacing w:before="50" w:after="156" w:afterLines="50" w:line="360" w:lineRule="auto"/>
              <w:jc w:val="center"/>
              <w:rPr>
                <w:rFonts w:hint="eastAsia"/>
                <w:sz w:val="24"/>
                <w:szCs w:val="20"/>
              </w:rPr>
            </w:pPr>
          </w:p>
        </w:tc>
        <w:tc>
          <w:tcPr>
            <w:tcW w:w="1279" w:type="dxa"/>
            <w:tcBorders>
              <w:top w:val="single" w:color="auto" w:sz="4" w:space="0"/>
              <w:left w:val="single" w:color="auto" w:sz="4" w:space="0"/>
              <w:bottom w:val="single" w:color="auto" w:sz="4" w:space="0"/>
              <w:right w:val="single" w:color="auto" w:sz="4" w:space="0"/>
            </w:tcBorders>
            <w:vAlign w:val="center"/>
          </w:tcPr>
          <w:p w14:paraId="15C61FBB">
            <w:pPr>
              <w:tabs>
                <w:tab w:val="left" w:pos="420"/>
              </w:tabs>
              <w:snapToGrid w:val="0"/>
              <w:spacing w:before="50" w:after="156" w:afterLines="50" w:line="360" w:lineRule="auto"/>
              <w:jc w:val="center"/>
              <w:rPr>
                <w:rFonts w:hint="eastAsia"/>
                <w:sz w:val="24"/>
                <w:szCs w:val="20"/>
              </w:rPr>
            </w:pPr>
          </w:p>
        </w:tc>
        <w:tc>
          <w:tcPr>
            <w:tcW w:w="1674" w:type="dxa"/>
            <w:tcBorders>
              <w:top w:val="single" w:color="auto" w:sz="4" w:space="0"/>
              <w:left w:val="single" w:color="auto" w:sz="4" w:space="0"/>
              <w:bottom w:val="single" w:color="auto" w:sz="4" w:space="0"/>
              <w:right w:val="single" w:color="auto" w:sz="4" w:space="0"/>
            </w:tcBorders>
            <w:vAlign w:val="center"/>
          </w:tcPr>
          <w:p w14:paraId="6CBC0C38">
            <w:pPr>
              <w:tabs>
                <w:tab w:val="left" w:pos="420"/>
              </w:tabs>
              <w:snapToGrid w:val="0"/>
              <w:spacing w:before="50" w:after="156" w:afterLines="50" w:line="360" w:lineRule="auto"/>
              <w:jc w:val="center"/>
              <w:rPr>
                <w:rFonts w:hint="eastAsia"/>
                <w:sz w:val="24"/>
                <w:szCs w:val="20"/>
              </w:rPr>
            </w:pPr>
          </w:p>
        </w:tc>
        <w:tc>
          <w:tcPr>
            <w:tcW w:w="1242" w:type="dxa"/>
            <w:tcBorders>
              <w:top w:val="single" w:color="auto" w:sz="4" w:space="0"/>
              <w:left w:val="single" w:color="auto" w:sz="4" w:space="0"/>
              <w:bottom w:val="single" w:color="auto" w:sz="4" w:space="0"/>
              <w:right w:val="single" w:color="auto" w:sz="4" w:space="0"/>
            </w:tcBorders>
            <w:vAlign w:val="center"/>
          </w:tcPr>
          <w:p w14:paraId="052D9E88">
            <w:pPr>
              <w:tabs>
                <w:tab w:val="left" w:pos="420"/>
              </w:tabs>
              <w:snapToGrid w:val="0"/>
              <w:spacing w:before="50" w:after="156" w:afterLines="50" w:line="360" w:lineRule="auto"/>
              <w:jc w:val="center"/>
              <w:rPr>
                <w:rFonts w:hint="eastAsia"/>
                <w:sz w:val="24"/>
                <w:szCs w:val="20"/>
              </w:rPr>
            </w:pPr>
          </w:p>
        </w:tc>
        <w:tc>
          <w:tcPr>
            <w:tcW w:w="1298" w:type="dxa"/>
            <w:tcBorders>
              <w:top w:val="single" w:color="auto" w:sz="4" w:space="0"/>
              <w:left w:val="single" w:color="auto" w:sz="4" w:space="0"/>
              <w:bottom w:val="single" w:color="auto" w:sz="4" w:space="0"/>
              <w:right w:val="single" w:color="auto" w:sz="4" w:space="0"/>
            </w:tcBorders>
            <w:vAlign w:val="center"/>
          </w:tcPr>
          <w:p w14:paraId="42278752">
            <w:pPr>
              <w:tabs>
                <w:tab w:val="left" w:pos="420"/>
              </w:tabs>
              <w:snapToGrid w:val="0"/>
              <w:spacing w:before="50" w:after="156" w:afterLines="50" w:line="360" w:lineRule="auto"/>
              <w:jc w:val="center"/>
              <w:rPr>
                <w:rFonts w:hint="eastAsia"/>
                <w:sz w:val="24"/>
                <w:szCs w:val="20"/>
              </w:rPr>
            </w:pPr>
          </w:p>
        </w:tc>
      </w:tr>
      <w:tr w14:paraId="635A7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06D38C2C">
            <w:pPr>
              <w:tabs>
                <w:tab w:val="left" w:pos="420"/>
              </w:tabs>
              <w:snapToGrid w:val="0"/>
              <w:spacing w:before="50" w:after="156" w:afterLines="50" w:line="360" w:lineRule="auto"/>
              <w:jc w:val="center"/>
              <w:rPr>
                <w:rFonts w:hint="eastAsia"/>
                <w:sz w:val="24"/>
                <w:szCs w:val="20"/>
              </w:rPr>
            </w:pPr>
          </w:p>
        </w:tc>
        <w:tc>
          <w:tcPr>
            <w:tcW w:w="1913" w:type="dxa"/>
            <w:tcBorders>
              <w:top w:val="single" w:color="auto" w:sz="4" w:space="0"/>
              <w:left w:val="single" w:color="auto" w:sz="4" w:space="0"/>
              <w:bottom w:val="single" w:color="auto" w:sz="4" w:space="0"/>
              <w:right w:val="single" w:color="auto" w:sz="4" w:space="0"/>
            </w:tcBorders>
            <w:vAlign w:val="center"/>
          </w:tcPr>
          <w:p w14:paraId="7CB533AC">
            <w:pPr>
              <w:tabs>
                <w:tab w:val="left" w:pos="420"/>
              </w:tabs>
              <w:snapToGrid w:val="0"/>
              <w:spacing w:before="50" w:after="156" w:afterLines="50" w:line="360" w:lineRule="auto"/>
              <w:jc w:val="center"/>
              <w:rPr>
                <w:rFonts w:hint="eastAsia"/>
                <w:sz w:val="24"/>
                <w:szCs w:val="20"/>
              </w:rPr>
            </w:pPr>
          </w:p>
        </w:tc>
        <w:tc>
          <w:tcPr>
            <w:tcW w:w="1823" w:type="dxa"/>
            <w:tcBorders>
              <w:top w:val="single" w:color="auto" w:sz="4" w:space="0"/>
              <w:left w:val="single" w:color="auto" w:sz="4" w:space="0"/>
              <w:bottom w:val="single" w:color="auto" w:sz="4" w:space="0"/>
              <w:right w:val="single" w:color="auto" w:sz="4" w:space="0"/>
            </w:tcBorders>
            <w:vAlign w:val="center"/>
          </w:tcPr>
          <w:p w14:paraId="4E8C41F6">
            <w:pPr>
              <w:tabs>
                <w:tab w:val="left" w:pos="420"/>
              </w:tabs>
              <w:snapToGrid w:val="0"/>
              <w:spacing w:before="50" w:after="156" w:afterLines="50" w:line="360" w:lineRule="auto"/>
              <w:jc w:val="center"/>
              <w:rPr>
                <w:rFonts w:hint="eastAsia"/>
                <w:sz w:val="24"/>
                <w:szCs w:val="20"/>
              </w:rPr>
            </w:pPr>
          </w:p>
        </w:tc>
        <w:tc>
          <w:tcPr>
            <w:tcW w:w="1279" w:type="dxa"/>
            <w:tcBorders>
              <w:top w:val="single" w:color="auto" w:sz="4" w:space="0"/>
              <w:left w:val="single" w:color="auto" w:sz="4" w:space="0"/>
              <w:bottom w:val="single" w:color="auto" w:sz="4" w:space="0"/>
              <w:right w:val="single" w:color="auto" w:sz="4" w:space="0"/>
            </w:tcBorders>
            <w:vAlign w:val="center"/>
          </w:tcPr>
          <w:p w14:paraId="75CB4EF5">
            <w:pPr>
              <w:tabs>
                <w:tab w:val="left" w:pos="420"/>
              </w:tabs>
              <w:snapToGrid w:val="0"/>
              <w:spacing w:before="50" w:after="156" w:afterLines="50" w:line="360" w:lineRule="auto"/>
              <w:jc w:val="center"/>
              <w:rPr>
                <w:rFonts w:hint="eastAsia"/>
                <w:sz w:val="24"/>
                <w:szCs w:val="20"/>
              </w:rPr>
            </w:pPr>
          </w:p>
        </w:tc>
        <w:tc>
          <w:tcPr>
            <w:tcW w:w="1674" w:type="dxa"/>
            <w:tcBorders>
              <w:top w:val="single" w:color="auto" w:sz="4" w:space="0"/>
              <w:left w:val="single" w:color="auto" w:sz="4" w:space="0"/>
              <w:bottom w:val="single" w:color="auto" w:sz="4" w:space="0"/>
              <w:right w:val="single" w:color="auto" w:sz="4" w:space="0"/>
            </w:tcBorders>
            <w:vAlign w:val="center"/>
          </w:tcPr>
          <w:p w14:paraId="13A10FFB">
            <w:pPr>
              <w:tabs>
                <w:tab w:val="left" w:pos="420"/>
              </w:tabs>
              <w:snapToGrid w:val="0"/>
              <w:spacing w:before="50" w:after="156" w:afterLines="50" w:line="360" w:lineRule="auto"/>
              <w:jc w:val="center"/>
              <w:rPr>
                <w:rFonts w:hint="eastAsia"/>
                <w:sz w:val="24"/>
                <w:szCs w:val="20"/>
              </w:rPr>
            </w:pPr>
          </w:p>
        </w:tc>
        <w:tc>
          <w:tcPr>
            <w:tcW w:w="1242" w:type="dxa"/>
            <w:tcBorders>
              <w:top w:val="single" w:color="auto" w:sz="4" w:space="0"/>
              <w:left w:val="single" w:color="auto" w:sz="4" w:space="0"/>
              <w:bottom w:val="single" w:color="auto" w:sz="4" w:space="0"/>
              <w:right w:val="single" w:color="auto" w:sz="4" w:space="0"/>
            </w:tcBorders>
            <w:vAlign w:val="center"/>
          </w:tcPr>
          <w:p w14:paraId="24EED725">
            <w:pPr>
              <w:tabs>
                <w:tab w:val="left" w:pos="420"/>
              </w:tabs>
              <w:snapToGrid w:val="0"/>
              <w:spacing w:before="50" w:after="156" w:afterLines="50" w:line="360" w:lineRule="auto"/>
              <w:jc w:val="center"/>
              <w:rPr>
                <w:rFonts w:hint="eastAsia"/>
                <w:sz w:val="24"/>
                <w:szCs w:val="20"/>
              </w:rPr>
            </w:pPr>
          </w:p>
        </w:tc>
        <w:tc>
          <w:tcPr>
            <w:tcW w:w="1298" w:type="dxa"/>
            <w:tcBorders>
              <w:top w:val="single" w:color="auto" w:sz="4" w:space="0"/>
              <w:left w:val="single" w:color="auto" w:sz="4" w:space="0"/>
              <w:bottom w:val="single" w:color="auto" w:sz="4" w:space="0"/>
              <w:right w:val="single" w:color="auto" w:sz="4" w:space="0"/>
            </w:tcBorders>
            <w:vAlign w:val="center"/>
          </w:tcPr>
          <w:p w14:paraId="79C05A70">
            <w:pPr>
              <w:tabs>
                <w:tab w:val="left" w:pos="420"/>
              </w:tabs>
              <w:snapToGrid w:val="0"/>
              <w:spacing w:before="50" w:after="156" w:afterLines="50" w:line="360" w:lineRule="auto"/>
              <w:jc w:val="center"/>
              <w:rPr>
                <w:rFonts w:hint="eastAsia"/>
                <w:sz w:val="24"/>
                <w:szCs w:val="20"/>
              </w:rPr>
            </w:pPr>
          </w:p>
        </w:tc>
      </w:tr>
    </w:tbl>
    <w:p w14:paraId="217F8AB3">
      <w:pPr>
        <w:tabs>
          <w:tab w:val="left" w:pos="420"/>
        </w:tabs>
        <w:snapToGrid w:val="0"/>
        <w:spacing w:line="360" w:lineRule="auto"/>
        <w:ind w:firstLine="360"/>
        <w:rPr>
          <w:rFonts w:hint="eastAsia"/>
          <w:szCs w:val="21"/>
        </w:rPr>
      </w:pPr>
    </w:p>
    <w:p w14:paraId="34F8A67B">
      <w:pPr>
        <w:tabs>
          <w:tab w:val="left" w:pos="420"/>
        </w:tabs>
        <w:snapToGrid w:val="0"/>
        <w:spacing w:line="360" w:lineRule="auto"/>
        <w:ind w:firstLine="360"/>
        <w:rPr>
          <w:rFonts w:hint="eastAsia"/>
          <w:szCs w:val="21"/>
        </w:rPr>
      </w:pPr>
      <w:r>
        <w:rPr>
          <w:rFonts w:hint="eastAsia"/>
          <w:szCs w:val="21"/>
        </w:rPr>
        <w:t>注：业绩的认定标准及证明材料详见</w:t>
      </w:r>
      <w:r>
        <w:rPr>
          <w:rFonts w:hint="eastAsia"/>
        </w:rPr>
        <w:t>招标文件</w:t>
      </w:r>
      <w:r>
        <w:rPr>
          <w:rFonts w:hint="eastAsia"/>
          <w:szCs w:val="21"/>
        </w:rPr>
        <w:t>评分标准，此表不够可以续表。</w:t>
      </w:r>
    </w:p>
    <w:bookmarkEnd w:id="820"/>
    <w:bookmarkEnd w:id="821"/>
    <w:bookmarkEnd w:id="822"/>
    <w:p w14:paraId="42179207">
      <w:pPr>
        <w:pStyle w:val="21"/>
        <w:tabs>
          <w:tab w:val="left" w:pos="420"/>
        </w:tabs>
        <w:spacing w:line="360" w:lineRule="auto"/>
        <w:ind w:firstLine="210"/>
        <w:rPr>
          <w:rFonts w:hint="eastAsia"/>
        </w:rPr>
      </w:pPr>
    </w:p>
    <w:p w14:paraId="1D49EC1D">
      <w:pPr>
        <w:pStyle w:val="22"/>
        <w:rPr>
          <w:rFonts w:hint="eastAsia"/>
        </w:rPr>
      </w:pPr>
    </w:p>
    <w:p w14:paraId="37F3D8A5">
      <w:pPr>
        <w:rPr>
          <w:rFonts w:hint="eastAsia"/>
        </w:rPr>
      </w:pPr>
    </w:p>
    <w:p w14:paraId="20CB100E">
      <w:pPr>
        <w:spacing w:line="360" w:lineRule="auto"/>
        <w:ind w:firstLine="3360" w:firstLineChars="1600"/>
        <w:rPr>
          <w:rFonts w:hint="eastAsia"/>
          <w:bCs/>
          <w:szCs w:val="21"/>
        </w:rPr>
      </w:pPr>
      <w:r>
        <w:rPr>
          <w:rFonts w:hint="eastAsia"/>
          <w:kern w:val="0"/>
          <w:szCs w:val="21"/>
        </w:rPr>
        <w:t>投 标 人</w:t>
      </w:r>
      <w:r>
        <w:rPr>
          <w:rFonts w:hint="eastAsia"/>
          <w:bCs/>
          <w:szCs w:val="21"/>
        </w:rPr>
        <w:t>：</w:t>
      </w:r>
      <w:r>
        <w:rPr>
          <w:rFonts w:hint="eastAsia"/>
          <w:bCs/>
          <w:szCs w:val="21"/>
          <w:u w:val="single"/>
        </w:rPr>
        <w:t xml:space="preserve">                      </w:t>
      </w:r>
      <w:r>
        <w:rPr>
          <w:rFonts w:hint="eastAsia"/>
          <w:bCs/>
          <w:szCs w:val="21"/>
        </w:rPr>
        <w:t>（盖章）</w:t>
      </w:r>
    </w:p>
    <w:p w14:paraId="2933A1F5">
      <w:pPr>
        <w:spacing w:line="360" w:lineRule="auto"/>
        <w:ind w:firstLine="3360" w:firstLineChars="1600"/>
        <w:rPr>
          <w:rFonts w:hint="eastAsia"/>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3CD908AC">
      <w:pPr>
        <w:tabs>
          <w:tab w:val="left" w:pos="5380"/>
          <w:tab w:val="left" w:pos="6520"/>
          <w:tab w:val="left" w:pos="7680"/>
        </w:tabs>
        <w:autoSpaceDE w:val="0"/>
        <w:autoSpaceDN w:val="0"/>
        <w:adjustRightInd w:val="0"/>
        <w:spacing w:line="360" w:lineRule="auto"/>
        <w:ind w:right="-23" w:firstLine="4620" w:firstLineChars="2200"/>
        <w:jc w:val="left"/>
        <w:rPr>
          <w:rFonts w:hint="eastAsia"/>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6D2E9210">
      <w:pPr>
        <w:rPr>
          <w:rFonts w:hint="eastAsia"/>
        </w:rPr>
      </w:pPr>
    </w:p>
    <w:p w14:paraId="2EA65903">
      <w:pPr>
        <w:tabs>
          <w:tab w:val="left" w:pos="420"/>
        </w:tabs>
        <w:spacing w:line="360" w:lineRule="auto"/>
        <w:jc w:val="center"/>
        <w:rPr>
          <w:rFonts w:hint="eastAsia"/>
          <w:szCs w:val="21"/>
        </w:rPr>
      </w:pPr>
      <w:bookmarkStart w:id="825" w:name="_Toc13111"/>
      <w:r>
        <w:rPr>
          <w:rFonts w:hint="eastAsia"/>
          <w:sz w:val="24"/>
        </w:rPr>
        <w:br w:type="page"/>
      </w:r>
    </w:p>
    <w:p w14:paraId="3EB1A2D4">
      <w:pPr>
        <w:rPr>
          <w:rFonts w:hint="eastAsia"/>
        </w:rPr>
      </w:pPr>
    </w:p>
    <w:p w14:paraId="3FC07795">
      <w:pPr>
        <w:pStyle w:val="3"/>
        <w:tabs>
          <w:tab w:val="left" w:pos="420"/>
        </w:tabs>
        <w:jc w:val="center"/>
        <w:rPr>
          <w:rFonts w:hint="eastAsia" w:ascii="宋体" w:hAnsi="宋体"/>
          <w:szCs w:val="24"/>
        </w:rPr>
      </w:pPr>
      <w:bookmarkStart w:id="826" w:name="_Toc18142"/>
      <w:bookmarkStart w:id="827" w:name="_Toc1442"/>
      <w:bookmarkStart w:id="828" w:name="_Toc26342"/>
      <w:bookmarkStart w:id="829" w:name="_Toc19547"/>
      <w:bookmarkStart w:id="830" w:name="_Toc22563"/>
      <w:r>
        <w:rPr>
          <w:rFonts w:hint="eastAsia" w:ascii="宋体" w:hAnsi="宋体"/>
          <w:szCs w:val="24"/>
        </w:rPr>
        <w:t>八、</w:t>
      </w:r>
      <w:bookmarkStart w:id="831" w:name="_Toc263835715"/>
      <w:r>
        <w:rPr>
          <w:rFonts w:hint="eastAsia" w:ascii="宋体" w:hAnsi="宋体"/>
          <w:szCs w:val="24"/>
        </w:rPr>
        <w:t>技术</w:t>
      </w:r>
      <w:bookmarkEnd w:id="826"/>
      <w:bookmarkEnd w:id="827"/>
      <w:bookmarkEnd w:id="828"/>
      <w:bookmarkEnd w:id="829"/>
      <w:bookmarkEnd w:id="831"/>
      <w:r>
        <w:rPr>
          <w:rFonts w:hint="eastAsia" w:ascii="宋体" w:hAnsi="宋体"/>
          <w:szCs w:val="24"/>
        </w:rPr>
        <w:t>部分</w:t>
      </w:r>
      <w:bookmarkEnd w:id="830"/>
    </w:p>
    <w:p w14:paraId="55B85D6E">
      <w:pPr>
        <w:spacing w:line="480" w:lineRule="auto"/>
        <w:ind w:firstLine="420" w:firstLineChars="200"/>
        <w:rPr>
          <w:rFonts w:hint="eastAsia"/>
          <w:szCs w:val="21"/>
        </w:rPr>
      </w:pPr>
      <w:bookmarkStart w:id="832" w:name="_Toc27627"/>
      <w:bookmarkStart w:id="833" w:name="_Toc25320"/>
      <w:bookmarkStart w:id="834" w:name="_Toc24987"/>
      <w:bookmarkStart w:id="835" w:name="_Toc9541"/>
      <w:bookmarkStart w:id="836" w:name="_Toc28171"/>
      <w:bookmarkStart w:id="837" w:name="_Toc7444"/>
      <w:bookmarkStart w:id="838" w:name="_Toc32226"/>
      <w:bookmarkStart w:id="839" w:name="_Toc29180"/>
      <w:bookmarkStart w:id="840" w:name="_Toc1418"/>
      <w:bookmarkStart w:id="841" w:name="_Toc8149"/>
      <w:bookmarkStart w:id="842" w:name="_Toc32605"/>
      <w:bookmarkStart w:id="843" w:name="_Toc394145987"/>
      <w:bookmarkStart w:id="844" w:name="_Toc32599"/>
      <w:bookmarkStart w:id="845" w:name="_Toc7506"/>
      <w:bookmarkStart w:id="846" w:name="_Toc27773"/>
      <w:bookmarkStart w:id="847" w:name="_Toc4552"/>
      <w:bookmarkStart w:id="848" w:name="_Toc27586"/>
      <w:bookmarkStart w:id="849" w:name="_Toc13983"/>
      <w:bookmarkStart w:id="850" w:name="_Toc8388"/>
      <w:bookmarkStart w:id="851" w:name="_Toc29476"/>
      <w:bookmarkStart w:id="852" w:name="_Toc31236"/>
      <w:bookmarkStart w:id="853" w:name="_Toc5528"/>
      <w:r>
        <w:rPr>
          <w:rFonts w:hint="eastAsia"/>
          <w:szCs w:val="21"/>
        </w:rPr>
        <w:t>包括但不限于以下内容：</w:t>
      </w:r>
    </w:p>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1CE517AF">
      <w:pPr>
        <w:spacing w:line="360" w:lineRule="auto"/>
        <w:ind w:firstLine="420" w:firstLineChars="200"/>
        <w:rPr>
          <w:rFonts w:hint="eastAsia"/>
          <w:szCs w:val="21"/>
        </w:rPr>
      </w:pPr>
      <w:r>
        <w:rPr>
          <w:rFonts w:hint="eastAsia"/>
          <w:szCs w:val="21"/>
        </w:rPr>
        <w:t>1、平台建设方案</w:t>
      </w:r>
    </w:p>
    <w:p w14:paraId="1BCA5C6F">
      <w:pPr>
        <w:spacing w:line="360" w:lineRule="auto"/>
        <w:ind w:firstLine="420" w:firstLineChars="200"/>
        <w:rPr>
          <w:rFonts w:hint="eastAsia"/>
          <w:szCs w:val="21"/>
        </w:rPr>
      </w:pPr>
      <w:r>
        <w:rPr>
          <w:rFonts w:hint="eastAsia"/>
          <w:szCs w:val="21"/>
        </w:rPr>
        <w:t>2、示范工程建设方案</w:t>
      </w:r>
    </w:p>
    <w:p w14:paraId="3D48C938">
      <w:pPr>
        <w:spacing w:line="360" w:lineRule="auto"/>
        <w:ind w:firstLine="420" w:firstLineChars="200"/>
        <w:rPr>
          <w:rFonts w:hint="eastAsia"/>
          <w:kern w:val="0"/>
          <w:szCs w:val="21"/>
        </w:rPr>
      </w:pPr>
      <w:r>
        <w:rPr>
          <w:rFonts w:hint="eastAsia"/>
          <w:kern w:val="0"/>
          <w:szCs w:val="21"/>
        </w:rPr>
        <w:t>3、设备选型</w:t>
      </w:r>
    </w:p>
    <w:p w14:paraId="2C5C3A58">
      <w:pPr>
        <w:spacing w:line="360" w:lineRule="auto"/>
        <w:ind w:firstLine="420" w:firstLineChars="200"/>
        <w:rPr>
          <w:rFonts w:hint="eastAsia"/>
          <w:kern w:val="0"/>
          <w:szCs w:val="21"/>
        </w:rPr>
      </w:pPr>
      <w:r>
        <w:rPr>
          <w:rFonts w:hint="eastAsia"/>
          <w:kern w:val="0"/>
          <w:szCs w:val="21"/>
        </w:rPr>
        <w:t>4、供货保障方案</w:t>
      </w:r>
    </w:p>
    <w:p w14:paraId="69370301">
      <w:pPr>
        <w:spacing w:line="360" w:lineRule="auto"/>
        <w:ind w:firstLine="420" w:firstLineChars="200"/>
        <w:rPr>
          <w:rFonts w:hint="eastAsia"/>
          <w:kern w:val="0"/>
          <w:szCs w:val="21"/>
        </w:rPr>
      </w:pPr>
      <w:r>
        <w:rPr>
          <w:rFonts w:hint="eastAsia"/>
          <w:kern w:val="0"/>
          <w:szCs w:val="21"/>
        </w:rPr>
        <w:t>5、质量保证方案</w:t>
      </w:r>
    </w:p>
    <w:p w14:paraId="7E7B30AD">
      <w:pPr>
        <w:spacing w:line="360" w:lineRule="auto"/>
        <w:ind w:firstLine="420" w:firstLineChars="200"/>
        <w:rPr>
          <w:rFonts w:hint="eastAsia"/>
          <w:kern w:val="0"/>
          <w:szCs w:val="21"/>
        </w:rPr>
      </w:pPr>
      <w:r>
        <w:rPr>
          <w:rFonts w:hint="eastAsia"/>
          <w:kern w:val="0"/>
          <w:szCs w:val="21"/>
        </w:rPr>
        <w:t>6、进度控制方案</w:t>
      </w:r>
    </w:p>
    <w:p w14:paraId="57074B97">
      <w:pPr>
        <w:spacing w:line="360" w:lineRule="auto"/>
        <w:ind w:firstLine="420" w:firstLineChars="200"/>
        <w:rPr>
          <w:rFonts w:hint="eastAsia"/>
          <w:kern w:val="0"/>
          <w:szCs w:val="21"/>
        </w:rPr>
      </w:pPr>
      <w:r>
        <w:rPr>
          <w:rFonts w:hint="eastAsia"/>
          <w:kern w:val="0"/>
          <w:szCs w:val="21"/>
        </w:rPr>
        <w:t>7、安全管理方案</w:t>
      </w:r>
    </w:p>
    <w:p w14:paraId="4DEBCBAD">
      <w:pPr>
        <w:spacing w:line="360" w:lineRule="auto"/>
        <w:ind w:firstLine="420" w:firstLineChars="200"/>
        <w:rPr>
          <w:rFonts w:hint="eastAsia"/>
          <w:kern w:val="0"/>
          <w:szCs w:val="21"/>
        </w:rPr>
      </w:pPr>
      <w:r>
        <w:rPr>
          <w:rFonts w:hint="eastAsia"/>
          <w:kern w:val="0"/>
          <w:szCs w:val="21"/>
        </w:rPr>
        <w:t>8、技术培训</w:t>
      </w:r>
    </w:p>
    <w:p w14:paraId="69F1944C">
      <w:pPr>
        <w:spacing w:line="360" w:lineRule="auto"/>
        <w:ind w:firstLine="420" w:firstLineChars="200"/>
        <w:rPr>
          <w:rFonts w:hint="eastAsia"/>
          <w:kern w:val="0"/>
          <w:szCs w:val="21"/>
        </w:rPr>
      </w:pPr>
      <w:r>
        <w:rPr>
          <w:rFonts w:hint="eastAsia"/>
          <w:kern w:val="0"/>
          <w:szCs w:val="21"/>
        </w:rPr>
        <w:t>9、售后服务</w:t>
      </w:r>
    </w:p>
    <w:p w14:paraId="73D30963">
      <w:pPr>
        <w:spacing w:line="480" w:lineRule="auto"/>
        <w:ind w:firstLine="480" w:firstLineChars="200"/>
        <w:outlineLvl w:val="1"/>
        <w:rPr>
          <w:rFonts w:hint="eastAsia"/>
          <w:sz w:val="24"/>
        </w:rPr>
      </w:pPr>
      <w:r>
        <w:rPr>
          <w:rFonts w:hint="eastAsia"/>
          <w:sz w:val="24"/>
        </w:rPr>
        <w:br w:type="page"/>
      </w:r>
      <w:bookmarkEnd w:id="823"/>
      <w:bookmarkEnd w:id="825"/>
      <w:bookmarkStart w:id="854" w:name="_Toc27228"/>
      <w:bookmarkStart w:id="855" w:name="_Toc355809725"/>
      <w:bookmarkStart w:id="856" w:name="_Toc275795959"/>
      <w:bookmarkStart w:id="857" w:name="_Toc24823"/>
      <w:bookmarkStart w:id="858" w:name="_Toc339972632"/>
      <w:r>
        <w:rPr>
          <w:rFonts w:hint="eastAsia"/>
          <w:b/>
          <w:bCs/>
          <w:sz w:val="24"/>
        </w:rPr>
        <w:t>九、反商业贿赂承诺书</w:t>
      </w:r>
      <w:bookmarkEnd w:id="854"/>
      <w:bookmarkEnd w:id="855"/>
      <w:bookmarkEnd w:id="856"/>
      <w:bookmarkEnd w:id="857"/>
      <w:bookmarkEnd w:id="858"/>
    </w:p>
    <w:p w14:paraId="021C1CBF">
      <w:pPr>
        <w:spacing w:line="360" w:lineRule="auto"/>
        <w:rPr>
          <w:rFonts w:hint="eastAsia"/>
          <w:szCs w:val="21"/>
        </w:rPr>
      </w:pPr>
      <w:r>
        <w:rPr>
          <w:rFonts w:hint="eastAsia"/>
          <w:szCs w:val="21"/>
        </w:rPr>
        <w:t>我公司承诺：</w:t>
      </w:r>
    </w:p>
    <w:p w14:paraId="0B876F95">
      <w:pPr>
        <w:spacing w:line="360" w:lineRule="auto"/>
        <w:ind w:firstLine="555"/>
        <w:rPr>
          <w:rFonts w:hint="eastAsia"/>
          <w:szCs w:val="21"/>
        </w:rPr>
      </w:pPr>
      <w:r>
        <w:rPr>
          <w:rFonts w:hint="eastAsia"/>
          <w:szCs w:val="21"/>
        </w:rPr>
        <w:t>在</w:t>
      </w:r>
      <w:r>
        <w:rPr>
          <w:rFonts w:hint="eastAsia"/>
          <w:szCs w:val="21"/>
          <w:u w:val="single"/>
        </w:rPr>
        <w:t xml:space="preserve"> （采购项目名称）</w:t>
      </w:r>
      <w:r>
        <w:rPr>
          <w:rFonts w:hint="eastAsia"/>
          <w:szCs w:val="21"/>
        </w:rPr>
        <w:t>采购活动中，我公司保证做到：</w:t>
      </w:r>
    </w:p>
    <w:p w14:paraId="65D05057">
      <w:pPr>
        <w:spacing w:line="360" w:lineRule="auto"/>
        <w:ind w:firstLine="555"/>
        <w:rPr>
          <w:rFonts w:hint="eastAsia"/>
          <w:szCs w:val="21"/>
        </w:rPr>
      </w:pPr>
      <w:r>
        <w:rPr>
          <w:rFonts w:hint="eastAsia"/>
          <w:szCs w:val="21"/>
        </w:rPr>
        <w:t>1. 公平竞争参加本次采购活动。</w:t>
      </w:r>
    </w:p>
    <w:p w14:paraId="03A706B2">
      <w:pPr>
        <w:spacing w:line="360" w:lineRule="auto"/>
        <w:ind w:firstLine="556"/>
        <w:rPr>
          <w:rFonts w:hint="eastAsia"/>
          <w:szCs w:val="21"/>
        </w:rPr>
      </w:pPr>
      <w:r>
        <w:rPr>
          <w:rFonts w:hint="eastAsia"/>
          <w:szCs w:val="21"/>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9B890D7">
      <w:pPr>
        <w:spacing w:line="360" w:lineRule="auto"/>
        <w:ind w:firstLine="556"/>
        <w:rPr>
          <w:rFonts w:hint="eastAsia"/>
          <w:szCs w:val="21"/>
        </w:rPr>
      </w:pPr>
      <w:r>
        <w:rPr>
          <w:rFonts w:hint="eastAsia"/>
          <w:szCs w:val="21"/>
        </w:rPr>
        <w:t>3. 若出现上述行为，我公司及参与投标的工作人员愿意接受按照国家法律法规等有关规定给予的处罚。</w:t>
      </w:r>
    </w:p>
    <w:p w14:paraId="78994817">
      <w:pPr>
        <w:spacing w:line="360" w:lineRule="auto"/>
        <w:ind w:firstLine="555"/>
        <w:rPr>
          <w:rFonts w:hint="eastAsia"/>
          <w:szCs w:val="21"/>
        </w:rPr>
      </w:pPr>
    </w:p>
    <w:p w14:paraId="2B6F9F34">
      <w:pPr>
        <w:spacing w:line="360" w:lineRule="auto"/>
        <w:ind w:firstLine="2880"/>
        <w:rPr>
          <w:rFonts w:hint="eastAsia"/>
          <w:szCs w:val="21"/>
        </w:rPr>
      </w:pPr>
      <w:r>
        <w:rPr>
          <w:rFonts w:hint="eastAsia"/>
          <w:szCs w:val="21"/>
        </w:rPr>
        <w:t>投标人（公章）：</w:t>
      </w:r>
    </w:p>
    <w:p w14:paraId="743B69AD">
      <w:pPr>
        <w:spacing w:line="360" w:lineRule="auto"/>
        <w:ind w:firstLine="2880"/>
        <w:rPr>
          <w:rFonts w:hint="eastAsia"/>
          <w:szCs w:val="21"/>
        </w:rPr>
      </w:pPr>
      <w:r>
        <w:rPr>
          <w:rFonts w:hint="eastAsia"/>
          <w:szCs w:val="21"/>
        </w:rPr>
        <w:t>法定代表人（签字或盖章）：</w:t>
      </w:r>
    </w:p>
    <w:p w14:paraId="2651FF3F">
      <w:pPr>
        <w:spacing w:line="360" w:lineRule="auto"/>
        <w:ind w:firstLine="2880"/>
        <w:rPr>
          <w:rFonts w:hint="eastAsia"/>
          <w:szCs w:val="21"/>
        </w:rPr>
      </w:pPr>
      <w:r>
        <w:rPr>
          <w:rFonts w:hint="eastAsia"/>
          <w:szCs w:val="21"/>
        </w:rPr>
        <w:t>授权委托人（签字或盖章）：</w:t>
      </w:r>
    </w:p>
    <w:p w14:paraId="32B9CEDB">
      <w:pPr>
        <w:tabs>
          <w:tab w:val="left" w:pos="5380"/>
          <w:tab w:val="left" w:pos="6520"/>
          <w:tab w:val="left" w:pos="7680"/>
        </w:tabs>
        <w:autoSpaceDE w:val="0"/>
        <w:autoSpaceDN w:val="0"/>
        <w:adjustRightInd w:val="0"/>
        <w:spacing w:line="360" w:lineRule="auto"/>
        <w:ind w:right="-20" w:firstLine="3780" w:firstLineChars="18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1D417F87">
      <w:pPr>
        <w:spacing w:line="360" w:lineRule="auto"/>
        <w:rPr>
          <w:rFonts w:hint="eastAsia"/>
          <w:szCs w:val="21"/>
        </w:rPr>
      </w:pPr>
    </w:p>
    <w:p w14:paraId="74C61AF5">
      <w:pPr>
        <w:widowControl/>
        <w:spacing w:line="360" w:lineRule="auto"/>
        <w:rPr>
          <w:rFonts w:hint="eastAsia"/>
        </w:rPr>
      </w:pPr>
      <w:bookmarkStart w:id="859" w:name="_Toc19327"/>
      <w:r>
        <w:rPr>
          <w:rFonts w:hint="eastAsia"/>
          <w:sz w:val="24"/>
        </w:rPr>
        <w:br w:type="page"/>
      </w:r>
      <w:bookmarkEnd w:id="859"/>
    </w:p>
    <w:p w14:paraId="6F051CB1">
      <w:pPr>
        <w:numPr>
          <w:ilvl w:val="0"/>
          <w:numId w:val="31"/>
        </w:numPr>
        <w:spacing w:line="360" w:lineRule="auto"/>
        <w:jc w:val="center"/>
        <w:outlineLvl w:val="1"/>
        <w:rPr>
          <w:rFonts w:hint="eastAsia"/>
          <w:b/>
          <w:bCs/>
        </w:rPr>
      </w:pPr>
      <w:bookmarkStart w:id="860" w:name="_Toc18624"/>
      <w:bookmarkStart w:id="861" w:name="_Toc26793"/>
      <w:r>
        <w:rPr>
          <w:rFonts w:hint="eastAsia"/>
          <w:b/>
          <w:bCs/>
        </w:rPr>
        <w:t>其他资料</w:t>
      </w:r>
      <w:bookmarkEnd w:id="860"/>
      <w:bookmarkEnd w:id="861"/>
    </w:p>
    <w:p w14:paraId="322A9D86">
      <w:pPr>
        <w:pStyle w:val="3"/>
        <w:tabs>
          <w:tab w:val="left" w:pos="840"/>
        </w:tabs>
        <w:jc w:val="center"/>
        <w:rPr>
          <w:rFonts w:hint="eastAsia" w:ascii="宋体" w:hAnsi="宋体"/>
          <w:szCs w:val="24"/>
        </w:rPr>
      </w:pPr>
      <w:bookmarkStart w:id="862" w:name="_Toc31406"/>
      <w:r>
        <w:rPr>
          <w:rFonts w:hint="eastAsia" w:ascii="宋体" w:hAnsi="宋体"/>
          <w:szCs w:val="24"/>
        </w:rPr>
        <w:t>10.1中小企业声明函</w:t>
      </w:r>
      <w:r>
        <w:rPr>
          <w:rFonts w:hint="eastAsia" w:ascii="宋体" w:hAnsi="宋体"/>
          <w:bCs/>
          <w:szCs w:val="24"/>
        </w:rPr>
        <w:t>（</w:t>
      </w:r>
      <w:r>
        <w:rPr>
          <w:rFonts w:hint="eastAsia" w:ascii="宋体" w:hAnsi="宋体"/>
          <w:szCs w:val="24"/>
        </w:rPr>
        <w:t>如有）</w:t>
      </w:r>
      <w:bookmarkEnd w:id="862"/>
    </w:p>
    <w:p w14:paraId="27E9F4D3">
      <w:pPr>
        <w:widowControl/>
        <w:spacing w:line="360" w:lineRule="auto"/>
        <w:ind w:firstLine="420" w:firstLineChars="200"/>
        <w:jc w:val="left"/>
        <w:rPr>
          <w:rFonts w:hint="eastAsia"/>
          <w:szCs w:val="21"/>
        </w:rPr>
      </w:pPr>
      <w:r>
        <w:rPr>
          <w:rFonts w:hint="eastAsia"/>
          <w:kern w:val="0"/>
          <w:szCs w:val="21"/>
          <w:lang w:bidi="ar"/>
        </w:rPr>
        <w:t>本公司（联合体）郑重声明，根据《政府采购促进中小企业发展管理办法》（财库﹝2020﹞46号）的规定，本公司（联合体）参加</w:t>
      </w:r>
      <w:r>
        <w:rPr>
          <w:rFonts w:hint="eastAsia"/>
          <w:kern w:val="0"/>
          <w:szCs w:val="21"/>
          <w:u w:val="single"/>
          <w:lang w:bidi="ar"/>
        </w:rPr>
        <w:t>（单位名称）</w:t>
      </w:r>
      <w:r>
        <w:rPr>
          <w:rFonts w:hint="eastAsia"/>
          <w:kern w:val="0"/>
          <w:szCs w:val="21"/>
          <w:lang w:bidi="ar"/>
        </w:rPr>
        <w:t>的</w:t>
      </w:r>
      <w:r>
        <w:rPr>
          <w:rFonts w:hint="eastAsia"/>
          <w:kern w:val="0"/>
          <w:szCs w:val="21"/>
          <w:u w:val="single"/>
          <w:lang w:bidi="ar"/>
        </w:rPr>
        <w:t>（项目名称）</w:t>
      </w:r>
      <w:r>
        <w:rPr>
          <w:rFonts w:hint="eastAsia"/>
          <w:kern w:val="0"/>
          <w:szCs w:val="21"/>
          <w:lang w:bidi="ar"/>
        </w:rPr>
        <w:t>采购活动，服务全部由符合政策要求的中小企业承接。相关企业（含联合体中的中小企业、签订分包意向协议的中小企业）的具体情况如下：</w:t>
      </w:r>
    </w:p>
    <w:p w14:paraId="5561FFA5">
      <w:pPr>
        <w:widowControl/>
        <w:spacing w:line="360" w:lineRule="auto"/>
        <w:ind w:firstLine="420" w:firstLineChars="200"/>
        <w:jc w:val="left"/>
        <w:rPr>
          <w:rFonts w:hint="eastAsia"/>
          <w:szCs w:val="21"/>
        </w:rPr>
      </w:pPr>
      <w:r>
        <w:rPr>
          <w:rFonts w:hint="eastAsia"/>
          <w:kern w:val="0"/>
          <w:szCs w:val="21"/>
          <w:lang w:bidi="ar"/>
        </w:rPr>
        <w:t>1.</w:t>
      </w:r>
      <w:r>
        <w:rPr>
          <w:rFonts w:hint="eastAsia"/>
          <w:kern w:val="0"/>
          <w:szCs w:val="21"/>
          <w:u w:val="single"/>
          <w:lang w:bidi="ar"/>
        </w:rPr>
        <w:t xml:space="preserve">（标的名称） </w:t>
      </w:r>
      <w:r>
        <w:rPr>
          <w:rFonts w:hint="eastAsia"/>
          <w:kern w:val="0"/>
          <w:szCs w:val="21"/>
          <w:lang w:bidi="ar"/>
        </w:rPr>
        <w:t>，属于</w:t>
      </w:r>
      <w:r>
        <w:rPr>
          <w:rFonts w:hint="eastAsia"/>
          <w:kern w:val="0"/>
          <w:szCs w:val="21"/>
          <w:u w:val="single"/>
          <w:lang w:bidi="ar"/>
        </w:rPr>
        <w:t>（采购文件中明确的所属行业）</w:t>
      </w:r>
      <w:r>
        <w:rPr>
          <w:rFonts w:hint="eastAsia"/>
          <w:kern w:val="0"/>
          <w:szCs w:val="21"/>
          <w:lang w:bidi="ar"/>
        </w:rPr>
        <w:t>；承建（承接）企业为</w:t>
      </w:r>
      <w:r>
        <w:rPr>
          <w:rFonts w:hint="eastAsia"/>
          <w:kern w:val="0"/>
          <w:szCs w:val="21"/>
          <w:u w:val="single"/>
          <w:lang w:bidi="ar"/>
        </w:rPr>
        <w:t>（企业名称）</w:t>
      </w:r>
      <w:r>
        <w:rPr>
          <w:rFonts w:hint="eastAsia"/>
          <w:kern w:val="0"/>
          <w:szCs w:val="21"/>
          <w:lang w:bidi="ar"/>
        </w:rPr>
        <w:t>，从业人员</w:t>
      </w:r>
      <w:r>
        <w:rPr>
          <w:rFonts w:hint="eastAsia"/>
          <w:kern w:val="0"/>
          <w:szCs w:val="21"/>
          <w:u w:val="single"/>
          <w:lang w:bidi="ar"/>
        </w:rPr>
        <w:t xml:space="preserve">    </w:t>
      </w:r>
      <w:r>
        <w:rPr>
          <w:rFonts w:hint="eastAsia"/>
          <w:kern w:val="0"/>
          <w:szCs w:val="21"/>
          <w:lang w:bidi="ar"/>
        </w:rPr>
        <w:t>人，营业收入为</w:t>
      </w:r>
      <w:r>
        <w:rPr>
          <w:rFonts w:hint="eastAsia"/>
          <w:kern w:val="0"/>
          <w:szCs w:val="21"/>
          <w:u w:val="single"/>
          <w:lang w:bidi="ar"/>
        </w:rPr>
        <w:t xml:space="preserve">    </w:t>
      </w:r>
      <w:r>
        <w:rPr>
          <w:rFonts w:hint="eastAsia"/>
          <w:kern w:val="0"/>
          <w:szCs w:val="21"/>
          <w:lang w:bidi="ar"/>
        </w:rPr>
        <w:t>万元，资产总额为</w:t>
      </w:r>
      <w:r>
        <w:rPr>
          <w:rFonts w:hint="eastAsia"/>
          <w:kern w:val="0"/>
          <w:szCs w:val="21"/>
          <w:u w:val="single"/>
          <w:lang w:bidi="ar"/>
        </w:rPr>
        <w:t xml:space="preserve">   </w:t>
      </w:r>
      <w:r>
        <w:rPr>
          <w:rFonts w:hint="eastAsia"/>
          <w:kern w:val="0"/>
          <w:szCs w:val="21"/>
          <w:lang w:bidi="ar"/>
        </w:rPr>
        <w:t>万元①，属于</w:t>
      </w:r>
      <w:r>
        <w:rPr>
          <w:rFonts w:hint="eastAsia"/>
          <w:kern w:val="0"/>
          <w:szCs w:val="21"/>
          <w:u w:val="single"/>
          <w:lang w:bidi="ar"/>
        </w:rPr>
        <w:t>（中型企业、小型企业、微型企业）</w:t>
      </w:r>
      <w:r>
        <w:rPr>
          <w:rFonts w:hint="eastAsia"/>
          <w:kern w:val="0"/>
          <w:szCs w:val="21"/>
          <w:lang w:bidi="ar"/>
        </w:rPr>
        <w:t>；</w:t>
      </w:r>
    </w:p>
    <w:p w14:paraId="2B99313D">
      <w:pPr>
        <w:widowControl/>
        <w:spacing w:line="360" w:lineRule="auto"/>
        <w:ind w:firstLine="420" w:firstLineChars="200"/>
        <w:jc w:val="left"/>
        <w:rPr>
          <w:rFonts w:hint="eastAsia"/>
          <w:szCs w:val="21"/>
        </w:rPr>
      </w:pPr>
      <w:r>
        <w:rPr>
          <w:rFonts w:hint="eastAsia"/>
          <w:kern w:val="0"/>
          <w:szCs w:val="21"/>
          <w:lang w:bidi="ar"/>
        </w:rPr>
        <w:t>2.</w:t>
      </w:r>
      <w:r>
        <w:rPr>
          <w:rFonts w:hint="eastAsia"/>
          <w:kern w:val="0"/>
          <w:szCs w:val="21"/>
          <w:u w:val="single"/>
          <w:lang w:bidi="ar"/>
        </w:rPr>
        <w:t xml:space="preserve">（标的名称） </w:t>
      </w:r>
      <w:r>
        <w:rPr>
          <w:rFonts w:hint="eastAsia"/>
          <w:kern w:val="0"/>
          <w:szCs w:val="21"/>
          <w:lang w:bidi="ar"/>
        </w:rPr>
        <w:t>，属于</w:t>
      </w:r>
      <w:r>
        <w:rPr>
          <w:rFonts w:hint="eastAsia"/>
          <w:kern w:val="0"/>
          <w:szCs w:val="21"/>
          <w:u w:val="single"/>
          <w:lang w:bidi="ar"/>
        </w:rPr>
        <w:t>（采购文件中明确的所属行业）</w:t>
      </w:r>
      <w:r>
        <w:rPr>
          <w:rFonts w:hint="eastAsia"/>
          <w:kern w:val="0"/>
          <w:szCs w:val="21"/>
          <w:lang w:bidi="ar"/>
        </w:rPr>
        <w:t>；承建（承接）企业为</w:t>
      </w:r>
      <w:r>
        <w:rPr>
          <w:rFonts w:hint="eastAsia"/>
          <w:kern w:val="0"/>
          <w:szCs w:val="21"/>
          <w:u w:val="single"/>
          <w:lang w:bidi="ar"/>
        </w:rPr>
        <w:t>（企业名称）</w:t>
      </w:r>
      <w:r>
        <w:rPr>
          <w:rFonts w:hint="eastAsia"/>
          <w:kern w:val="0"/>
          <w:szCs w:val="21"/>
          <w:lang w:bidi="ar"/>
        </w:rPr>
        <w:t>，从业人员</w:t>
      </w:r>
      <w:r>
        <w:rPr>
          <w:rFonts w:hint="eastAsia"/>
          <w:kern w:val="0"/>
          <w:szCs w:val="21"/>
          <w:u w:val="single"/>
          <w:lang w:bidi="ar"/>
        </w:rPr>
        <w:t xml:space="preserve">    </w:t>
      </w:r>
      <w:r>
        <w:rPr>
          <w:rFonts w:hint="eastAsia"/>
          <w:kern w:val="0"/>
          <w:szCs w:val="21"/>
          <w:lang w:bidi="ar"/>
        </w:rPr>
        <w:t>人，营业收入为</w:t>
      </w:r>
      <w:r>
        <w:rPr>
          <w:rFonts w:hint="eastAsia"/>
          <w:kern w:val="0"/>
          <w:szCs w:val="21"/>
          <w:u w:val="single"/>
          <w:lang w:bidi="ar"/>
        </w:rPr>
        <w:t xml:space="preserve">    </w:t>
      </w:r>
      <w:r>
        <w:rPr>
          <w:rFonts w:hint="eastAsia"/>
          <w:kern w:val="0"/>
          <w:szCs w:val="21"/>
          <w:lang w:bidi="ar"/>
        </w:rPr>
        <w:t>万元，资产总额为</w:t>
      </w:r>
      <w:r>
        <w:rPr>
          <w:rFonts w:hint="eastAsia"/>
          <w:kern w:val="0"/>
          <w:szCs w:val="21"/>
          <w:u w:val="single"/>
          <w:lang w:bidi="ar"/>
        </w:rPr>
        <w:t xml:space="preserve">    </w:t>
      </w:r>
      <w:r>
        <w:rPr>
          <w:rFonts w:hint="eastAsia"/>
          <w:kern w:val="0"/>
          <w:szCs w:val="21"/>
          <w:lang w:bidi="ar"/>
        </w:rPr>
        <w:t>万元，属于</w:t>
      </w:r>
      <w:r>
        <w:rPr>
          <w:rFonts w:hint="eastAsia"/>
          <w:kern w:val="0"/>
          <w:szCs w:val="21"/>
          <w:u w:val="single"/>
          <w:lang w:bidi="ar"/>
        </w:rPr>
        <w:t>（中型企业、小型企业、微型企业）</w:t>
      </w:r>
      <w:r>
        <w:rPr>
          <w:rFonts w:hint="eastAsia"/>
          <w:kern w:val="0"/>
          <w:szCs w:val="21"/>
          <w:lang w:bidi="ar"/>
        </w:rPr>
        <w:t>；</w:t>
      </w:r>
    </w:p>
    <w:p w14:paraId="2F02B1E6">
      <w:pPr>
        <w:widowControl/>
        <w:spacing w:line="360" w:lineRule="auto"/>
        <w:jc w:val="left"/>
        <w:rPr>
          <w:rFonts w:hint="eastAsia"/>
          <w:szCs w:val="21"/>
        </w:rPr>
      </w:pPr>
      <w:r>
        <w:rPr>
          <w:rFonts w:hint="eastAsia"/>
          <w:kern w:val="0"/>
          <w:szCs w:val="21"/>
          <w:lang w:bidi="ar"/>
        </w:rPr>
        <w:t>……</w:t>
      </w:r>
    </w:p>
    <w:p w14:paraId="156F9C00">
      <w:pPr>
        <w:widowControl/>
        <w:spacing w:line="360" w:lineRule="auto"/>
        <w:ind w:firstLine="420" w:firstLineChars="200"/>
        <w:jc w:val="left"/>
        <w:rPr>
          <w:rFonts w:hint="eastAsia"/>
          <w:szCs w:val="21"/>
        </w:rPr>
      </w:pPr>
      <w:r>
        <w:rPr>
          <w:rFonts w:hint="eastAsia"/>
          <w:kern w:val="0"/>
          <w:szCs w:val="21"/>
          <w:lang w:bidi="ar"/>
        </w:rPr>
        <w:t>以上企业，不属于大企业的分支机构，不存在控股股东 为大企业的情形，也不存在与大企业的负责人为同一人的情形。</w:t>
      </w:r>
    </w:p>
    <w:p w14:paraId="75C05E80">
      <w:pPr>
        <w:widowControl/>
        <w:spacing w:line="360" w:lineRule="auto"/>
        <w:ind w:firstLine="420" w:firstLineChars="200"/>
        <w:jc w:val="left"/>
        <w:rPr>
          <w:rFonts w:hint="eastAsia"/>
          <w:kern w:val="0"/>
          <w:szCs w:val="21"/>
          <w:lang w:bidi="ar"/>
        </w:rPr>
      </w:pPr>
      <w:r>
        <w:rPr>
          <w:rFonts w:hint="eastAsia"/>
          <w:kern w:val="0"/>
          <w:szCs w:val="21"/>
          <w:lang w:bidi="ar"/>
        </w:rPr>
        <w:t xml:space="preserve">本企业对上述声明内容的真实性负责。如有虚假，将依法承担相应责任。 </w:t>
      </w:r>
    </w:p>
    <w:p w14:paraId="6FF63EAC">
      <w:pPr>
        <w:widowControl/>
        <w:spacing w:line="360" w:lineRule="auto"/>
        <w:jc w:val="left"/>
        <w:rPr>
          <w:rFonts w:hint="eastAsia"/>
          <w:kern w:val="0"/>
          <w:szCs w:val="21"/>
          <w:lang w:bidi="ar"/>
        </w:rPr>
      </w:pPr>
      <w:r>
        <w:rPr>
          <w:rFonts w:hint="eastAsia"/>
          <w:kern w:val="0"/>
          <w:szCs w:val="21"/>
          <w:lang w:bidi="ar"/>
        </w:rPr>
        <w:t xml:space="preserve"> </w:t>
      </w:r>
    </w:p>
    <w:p w14:paraId="54CF3529">
      <w:pPr>
        <w:widowControl/>
        <w:spacing w:line="360" w:lineRule="auto"/>
        <w:ind w:firstLine="5040" w:firstLineChars="2400"/>
        <w:jc w:val="left"/>
        <w:rPr>
          <w:rFonts w:hint="eastAsia"/>
          <w:szCs w:val="21"/>
        </w:rPr>
      </w:pPr>
      <w:r>
        <w:rPr>
          <w:rFonts w:hint="eastAsia"/>
          <w:kern w:val="0"/>
          <w:szCs w:val="21"/>
          <w:lang w:bidi="ar"/>
        </w:rPr>
        <w:t xml:space="preserve">企业名称（盖章）： </w:t>
      </w:r>
    </w:p>
    <w:p w14:paraId="2C37364B">
      <w:pPr>
        <w:tabs>
          <w:tab w:val="left" w:pos="5380"/>
          <w:tab w:val="left" w:pos="6520"/>
          <w:tab w:val="left" w:pos="7680"/>
        </w:tabs>
        <w:autoSpaceDE w:val="0"/>
        <w:autoSpaceDN w:val="0"/>
        <w:adjustRightInd w:val="0"/>
        <w:spacing w:line="360" w:lineRule="auto"/>
        <w:ind w:right="-20" w:firstLine="3780" w:firstLineChars="18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5D2AB143">
      <w:pPr>
        <w:widowControl/>
        <w:spacing w:line="360" w:lineRule="auto"/>
        <w:jc w:val="left"/>
        <w:rPr>
          <w:rFonts w:hint="eastAsia"/>
          <w:kern w:val="0"/>
          <w:szCs w:val="21"/>
          <w:lang w:bidi="ar"/>
        </w:rPr>
      </w:pPr>
      <w:r>
        <w:rPr>
          <w:rFonts w:hint="eastAsia"/>
          <w:kern w:val="0"/>
          <w:szCs w:val="21"/>
          <w:lang w:bidi="ar"/>
        </w:rPr>
        <w:t xml:space="preserve">注：①从业人员、营业收入、资产总额填报上一年度数据，无上一年度数据的新成立企业可不填报。 </w:t>
      </w:r>
    </w:p>
    <w:p w14:paraId="49DF4542">
      <w:pPr>
        <w:widowControl/>
        <w:spacing w:line="360" w:lineRule="auto"/>
        <w:ind w:firstLine="420" w:firstLineChars="200"/>
        <w:jc w:val="left"/>
        <w:rPr>
          <w:rFonts w:hint="eastAsia"/>
          <w:kern w:val="0"/>
          <w:szCs w:val="21"/>
          <w:lang w:bidi="ar"/>
        </w:rPr>
      </w:pPr>
      <w:r>
        <w:rPr>
          <w:rFonts w:hint="eastAsia"/>
          <w:szCs w:val="21"/>
        </w:rPr>
        <w:t>②</w:t>
      </w:r>
      <w:r>
        <w:rPr>
          <w:rFonts w:hint="eastAsia"/>
          <w:kern w:val="0"/>
          <w:szCs w:val="21"/>
          <w:lang w:bidi="ar"/>
        </w:rPr>
        <w:t xml:space="preserve">以联合体形式参加政府采购活动，联合体各方均为中小企业的，联合体视同中小企业。其中，联合体各方均为小微企业的，联合体视同小微企业。 </w:t>
      </w:r>
    </w:p>
    <w:p w14:paraId="1570E0BA">
      <w:pPr>
        <w:pStyle w:val="22"/>
        <w:spacing w:after="0" w:line="360" w:lineRule="auto"/>
        <w:ind w:left="0" w:leftChars="0"/>
        <w:rPr>
          <w:rFonts w:hint="eastAsia"/>
        </w:rPr>
      </w:pPr>
      <w:r>
        <w:rPr>
          <w:rFonts w:hint="eastAsia"/>
          <w:szCs w:val="21"/>
        </w:rPr>
        <w:t>③</w:t>
      </w:r>
      <w:r>
        <w:rPr>
          <w:rFonts w:hint="eastAsia"/>
          <w:kern w:val="0"/>
          <w:szCs w:val="21"/>
          <w:lang w:bidi="ar"/>
        </w:rPr>
        <w:t>在政府采购活动中，投标人提供的服务由小微企业承接，即提供服务的人员为小微企业依照《中华人民共和国劳动合同法》订立劳动合同的从业人员的，</w:t>
      </w:r>
      <w:r>
        <w:rPr>
          <w:rFonts w:hint="eastAsia"/>
          <w:szCs w:val="21"/>
        </w:rPr>
        <w:t>才能享受《政府采购促进中小企业发展管理办法》规定的价格扣减</w:t>
      </w:r>
      <w:r>
        <w:rPr>
          <w:rFonts w:hint="eastAsia"/>
          <w:kern w:val="0"/>
          <w:szCs w:val="21"/>
          <w:lang w:bidi="ar"/>
        </w:rPr>
        <w:t>。</w:t>
      </w:r>
    </w:p>
    <w:p w14:paraId="2669FAB1">
      <w:pPr>
        <w:pStyle w:val="21"/>
        <w:spacing w:line="360" w:lineRule="auto"/>
        <w:rPr>
          <w:rFonts w:hint="eastAsia" w:eastAsia="宋体"/>
          <w:kern w:val="0"/>
          <w:sz w:val="21"/>
          <w:szCs w:val="21"/>
          <w:lang w:bidi="ar"/>
        </w:rPr>
      </w:pPr>
      <w:r>
        <w:rPr>
          <w:rFonts w:hint="eastAsia" w:eastAsia="宋体"/>
          <w:sz w:val="21"/>
          <w:szCs w:val="21"/>
        </w:rPr>
        <w:t>④</w:t>
      </w:r>
      <w:r>
        <w:rPr>
          <w:rFonts w:hint="eastAsia" w:eastAsia="宋体"/>
          <w:kern w:val="0"/>
          <w:sz w:val="21"/>
          <w:szCs w:val="21"/>
          <w:lang w:bidi="ar"/>
        </w:rPr>
        <w:t>在服务采购项目中，服务的承接商应当为中小企业，不对其中涉及的货物的制造商作出要求。</w:t>
      </w:r>
    </w:p>
    <w:p w14:paraId="4AC317D7">
      <w:pPr>
        <w:spacing w:line="360" w:lineRule="auto"/>
        <w:rPr>
          <w:rFonts w:hint="eastAsia"/>
          <w:b/>
          <w:bCs/>
          <w:szCs w:val="21"/>
        </w:rPr>
      </w:pPr>
      <w:r>
        <w:rPr>
          <w:rFonts w:hint="eastAsia"/>
          <w:b/>
          <w:bCs/>
          <w:kern w:val="0"/>
          <w:szCs w:val="21"/>
          <w:lang w:bidi="ar"/>
        </w:rPr>
        <w:t>（提醒：如果投标人不是中小企业，则不需要提供《中小企业声明函》</w:t>
      </w:r>
      <w:r>
        <w:rPr>
          <w:rFonts w:hint="eastAsia"/>
          <w:b/>
          <w:bCs/>
          <w:sz w:val="24"/>
        </w:rPr>
        <w:t>）</w:t>
      </w:r>
    </w:p>
    <w:p w14:paraId="39766E25">
      <w:pPr>
        <w:pStyle w:val="3"/>
        <w:tabs>
          <w:tab w:val="left" w:pos="840"/>
        </w:tabs>
        <w:jc w:val="both"/>
        <w:rPr>
          <w:rFonts w:hint="eastAsia" w:ascii="宋体" w:hAnsi="宋体"/>
          <w:szCs w:val="24"/>
        </w:rPr>
        <w:sectPr>
          <w:pgSz w:w="11906" w:h="16838"/>
          <w:pgMar w:top="1440" w:right="1797" w:bottom="1247" w:left="1797" w:header="851" w:footer="992" w:gutter="0"/>
          <w:cols w:space="720" w:num="1"/>
          <w:docGrid w:type="linesAndChars" w:linePitch="312" w:charSpace="0"/>
        </w:sectPr>
      </w:pPr>
    </w:p>
    <w:p w14:paraId="0F6C4F85">
      <w:pPr>
        <w:pStyle w:val="3"/>
        <w:tabs>
          <w:tab w:val="left" w:pos="840"/>
        </w:tabs>
        <w:jc w:val="center"/>
        <w:rPr>
          <w:rFonts w:hint="eastAsia" w:ascii="宋体" w:hAnsi="宋体"/>
          <w:szCs w:val="24"/>
        </w:rPr>
      </w:pPr>
      <w:bookmarkStart w:id="863" w:name="_Toc31052"/>
      <w:r>
        <w:rPr>
          <w:rFonts w:hint="eastAsia" w:ascii="宋体" w:hAnsi="宋体"/>
          <w:szCs w:val="24"/>
        </w:rPr>
        <w:t>10.2、残疾人福利性单位声明函</w:t>
      </w:r>
      <w:r>
        <w:rPr>
          <w:rFonts w:hint="eastAsia" w:ascii="宋体" w:hAnsi="宋体"/>
          <w:kern w:val="0"/>
          <w:szCs w:val="21"/>
        </w:rPr>
        <w:t>（如有）</w:t>
      </w:r>
      <w:bookmarkEnd w:id="863"/>
    </w:p>
    <w:p w14:paraId="49335F22">
      <w:pPr>
        <w:spacing w:line="360" w:lineRule="auto"/>
        <w:ind w:firstLine="44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w:t>
      </w:r>
      <w:r>
        <w:rPr>
          <w:rFonts w:hint="eastAsia"/>
          <w:spacing w:val="6"/>
          <w:szCs w:val="21"/>
          <w:u w:val="single"/>
        </w:rPr>
        <w:t xml:space="preserve">       </w:t>
      </w:r>
      <w:r>
        <w:rPr>
          <w:rFonts w:hint="eastAsia"/>
          <w:spacing w:val="6"/>
          <w:szCs w:val="21"/>
        </w:rPr>
        <w:t>单位的</w:t>
      </w:r>
      <w:r>
        <w:rPr>
          <w:rFonts w:hint="eastAsia"/>
          <w:spacing w:val="6"/>
          <w:szCs w:val="21"/>
          <w:u w:val="single"/>
        </w:rPr>
        <w:t xml:space="preserve">      </w:t>
      </w:r>
      <w:r>
        <w:rPr>
          <w:rFonts w:hint="eastAsia"/>
          <w:spacing w:val="6"/>
          <w:szCs w:val="21"/>
        </w:rPr>
        <w:t>项目采购活动提供本单位制造的货物（由本单位承担工程/提供服务），或者提供其他残疾人福利性单位制造的货物（不包括使用非残疾人福利性单位注册商标的货物）。</w:t>
      </w:r>
    </w:p>
    <w:p w14:paraId="52D56F92">
      <w:pPr>
        <w:spacing w:line="360" w:lineRule="auto"/>
        <w:ind w:firstLine="444" w:firstLineChars="200"/>
        <w:rPr>
          <w:rFonts w:hint="eastAsia"/>
          <w:spacing w:val="6"/>
          <w:szCs w:val="21"/>
        </w:rPr>
      </w:pPr>
      <w:r>
        <w:rPr>
          <w:rFonts w:hint="eastAsia"/>
          <w:spacing w:val="6"/>
          <w:szCs w:val="21"/>
        </w:rPr>
        <w:t>本单位对上述声明的真实性负责。如有虚假，将依法承担相应责任。</w:t>
      </w:r>
    </w:p>
    <w:p w14:paraId="6126142C">
      <w:pPr>
        <w:spacing w:line="360" w:lineRule="auto"/>
        <w:ind w:firstLine="444" w:firstLineChars="200"/>
        <w:rPr>
          <w:rFonts w:hint="eastAsia"/>
          <w:spacing w:val="6"/>
          <w:szCs w:val="21"/>
        </w:rPr>
      </w:pPr>
    </w:p>
    <w:p w14:paraId="0CE0B78D">
      <w:pPr>
        <w:spacing w:line="360" w:lineRule="auto"/>
        <w:ind w:firstLine="444" w:firstLineChars="200"/>
        <w:rPr>
          <w:rFonts w:hint="eastAsia"/>
          <w:spacing w:val="6"/>
          <w:szCs w:val="21"/>
        </w:rPr>
      </w:pPr>
    </w:p>
    <w:p w14:paraId="23EE4E5A">
      <w:pPr>
        <w:tabs>
          <w:tab w:val="left" w:pos="4860"/>
        </w:tabs>
        <w:spacing w:line="360" w:lineRule="auto"/>
        <w:ind w:right="1560" w:firstLine="444" w:firstLineChars="200"/>
        <w:jc w:val="center"/>
        <w:rPr>
          <w:rFonts w:hint="eastAsia"/>
          <w:spacing w:val="6"/>
          <w:szCs w:val="21"/>
        </w:rPr>
      </w:pPr>
      <w:r>
        <w:rPr>
          <w:rFonts w:hint="eastAsia"/>
          <w:spacing w:val="6"/>
          <w:szCs w:val="21"/>
        </w:rPr>
        <w:t xml:space="preserve">               单位名称（盖章）：</w:t>
      </w:r>
    </w:p>
    <w:p w14:paraId="08409A08">
      <w:pPr>
        <w:tabs>
          <w:tab w:val="left" w:pos="5380"/>
          <w:tab w:val="left" w:pos="6520"/>
          <w:tab w:val="left" w:pos="7680"/>
        </w:tabs>
        <w:autoSpaceDE w:val="0"/>
        <w:autoSpaceDN w:val="0"/>
        <w:adjustRightInd w:val="0"/>
        <w:spacing w:line="360" w:lineRule="auto"/>
        <w:ind w:right="-20" w:firstLine="3780" w:firstLineChars="1800"/>
        <w:jc w:val="left"/>
        <w:rPr>
          <w:rFonts w:hint="eastAsia"/>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3161D563">
      <w:pPr>
        <w:widowControl/>
        <w:spacing w:line="360" w:lineRule="auto"/>
        <w:rPr>
          <w:rFonts w:hint="eastAsia"/>
          <w:b/>
          <w:szCs w:val="21"/>
        </w:rPr>
      </w:pPr>
    </w:p>
    <w:p w14:paraId="1143FE73">
      <w:pPr>
        <w:widowControl/>
        <w:spacing w:line="360" w:lineRule="auto"/>
        <w:rPr>
          <w:rFonts w:hint="eastAsia"/>
          <w:b/>
          <w:szCs w:val="21"/>
        </w:rPr>
      </w:pPr>
      <w:r>
        <w:rPr>
          <w:rFonts w:hint="eastAsia"/>
          <w:b/>
          <w:szCs w:val="21"/>
        </w:rPr>
        <w:t>（提醒：如果投标人</w:t>
      </w:r>
      <w:r>
        <w:rPr>
          <w:rFonts w:hint="eastAsia"/>
          <w:b/>
          <w:spacing w:val="10"/>
          <w:kern w:val="0"/>
          <w:szCs w:val="21"/>
        </w:rPr>
        <w:t>不是残疾人福利性单位</w:t>
      </w:r>
      <w:r>
        <w:rPr>
          <w:rFonts w:hint="eastAsia"/>
          <w:b/>
          <w:szCs w:val="21"/>
        </w:rPr>
        <w:t>，则不需要提供《残疾人福利性单位声明》。）</w:t>
      </w:r>
    </w:p>
    <w:p w14:paraId="78854031">
      <w:pPr>
        <w:tabs>
          <w:tab w:val="left" w:pos="840"/>
        </w:tabs>
        <w:autoSpaceDE w:val="0"/>
        <w:autoSpaceDN w:val="0"/>
        <w:adjustRightInd w:val="0"/>
        <w:spacing w:line="360" w:lineRule="auto"/>
        <w:rPr>
          <w:rFonts w:hint="eastAsia"/>
          <w:b/>
          <w:sz w:val="24"/>
        </w:rPr>
      </w:pPr>
    </w:p>
    <w:p w14:paraId="2AFC7D68">
      <w:pPr>
        <w:spacing w:line="360" w:lineRule="auto"/>
        <w:rPr>
          <w:rFonts w:hint="eastAsia"/>
        </w:rPr>
      </w:pPr>
      <w:r>
        <w:rPr>
          <w:rFonts w:hint="eastAsia"/>
        </w:rPr>
        <w:t>注：《财政部民政部中国残疾人联合会关于促进残疾人就业政府采购政策的通知》（财库〔2017〕141号）的规定：</w:t>
      </w:r>
    </w:p>
    <w:p w14:paraId="3363BDF2">
      <w:pPr>
        <w:spacing w:line="360" w:lineRule="auto"/>
        <w:ind w:firstLine="420" w:firstLineChars="200"/>
        <w:rPr>
          <w:rFonts w:hint="eastAsia"/>
          <w:szCs w:val="21"/>
        </w:rPr>
      </w:pPr>
      <w:r>
        <w:rPr>
          <w:rFonts w:hint="eastAsia"/>
          <w:szCs w:val="21"/>
        </w:rPr>
        <w:t>1. 享受政府采购支持政策的残疾人福利性单位应当同时满足以下条件：</w:t>
      </w:r>
    </w:p>
    <w:p w14:paraId="147ACB7A">
      <w:pPr>
        <w:spacing w:line="360" w:lineRule="auto"/>
        <w:rPr>
          <w:rFonts w:hint="eastAsia"/>
        </w:rPr>
      </w:pPr>
      <w:r>
        <w:rPr>
          <w:rFonts w:hint="eastAsia"/>
        </w:rPr>
        <w:t>（1）安置的残疾人占本单位在职职工人数的比例不低于25%（含25%），并且安置的残疾人人数不少于10人（含10人）；</w:t>
      </w:r>
    </w:p>
    <w:p w14:paraId="45DCC3A3">
      <w:pPr>
        <w:spacing w:line="360" w:lineRule="auto"/>
        <w:rPr>
          <w:rFonts w:hint="eastAsia"/>
        </w:rPr>
      </w:pPr>
      <w:r>
        <w:rPr>
          <w:rFonts w:hint="eastAsia"/>
        </w:rPr>
        <w:t>（2）依法与安置的每位残疾人签订了一年以上（含一年）的劳动合同或服务协议；</w:t>
      </w:r>
    </w:p>
    <w:p w14:paraId="414A2685">
      <w:pPr>
        <w:spacing w:line="360" w:lineRule="auto"/>
        <w:rPr>
          <w:rFonts w:hint="eastAsia"/>
        </w:rPr>
      </w:pPr>
      <w:r>
        <w:rPr>
          <w:rFonts w:hint="eastAsia"/>
        </w:rPr>
        <w:t>（3）为安置的每位残疾人按月足额缴纳了基本养老保险、基本医疗保险、失业保险、工伤保险和生育保险等社会保险费；</w:t>
      </w:r>
    </w:p>
    <w:p w14:paraId="54B4A225">
      <w:pPr>
        <w:spacing w:line="360" w:lineRule="auto"/>
        <w:rPr>
          <w:rFonts w:hint="eastAsia"/>
        </w:rPr>
      </w:pPr>
      <w:r>
        <w:rPr>
          <w:rFonts w:hint="eastAsia"/>
        </w:rPr>
        <w:t>（4）通过银行等金融机构向安置的每位残疾人，按月支付了不低于单位所在区县适用的经省级人民政府批准的月最低工资标准的工资；</w:t>
      </w:r>
    </w:p>
    <w:p w14:paraId="30BD3983">
      <w:pPr>
        <w:spacing w:line="360" w:lineRule="auto"/>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665428C9">
      <w:pPr>
        <w:spacing w:line="360" w:lineRule="auto"/>
        <w:ind w:firstLine="420" w:firstLineChars="200"/>
        <w:rPr>
          <w:rFonts w:hint="eastAsia"/>
          <w:b/>
          <w:sz w:val="24"/>
        </w:rPr>
      </w:pPr>
      <w:r>
        <w:rPr>
          <w:rFonts w:hint="eastAsia"/>
          <w:szCs w:val="21"/>
        </w:rPr>
        <w:t>2. 中标人为残疾人福利性单位的，采购人或者其委托的采购代理机构应当随中标、成交结果同时公告其《残疾人福利性单位声明函》，接受社会监督。</w:t>
      </w:r>
    </w:p>
    <w:p w14:paraId="45AD8AD3">
      <w:pPr>
        <w:pStyle w:val="3"/>
        <w:tabs>
          <w:tab w:val="left" w:pos="840"/>
        </w:tabs>
        <w:jc w:val="both"/>
        <w:rPr>
          <w:rFonts w:hint="eastAsia" w:ascii="宋体" w:hAnsi="宋体"/>
          <w:szCs w:val="24"/>
          <w:lang w:val="en-GB"/>
        </w:rPr>
      </w:pPr>
      <w:r>
        <w:rPr>
          <w:rFonts w:hint="eastAsia" w:ascii="宋体" w:hAnsi="宋体"/>
          <w:szCs w:val="24"/>
          <w:lang w:val="en-GB"/>
        </w:rPr>
        <w:br w:type="page"/>
      </w:r>
      <w:bookmarkStart w:id="864" w:name="_Toc18175"/>
      <w:r>
        <w:rPr>
          <w:rFonts w:hint="eastAsia" w:ascii="宋体" w:hAnsi="宋体"/>
          <w:szCs w:val="24"/>
        </w:rPr>
        <w:t>10.3</w:t>
      </w:r>
      <w:r>
        <w:rPr>
          <w:rFonts w:hint="eastAsia" w:ascii="宋体" w:hAnsi="宋体"/>
          <w:szCs w:val="24"/>
          <w:lang w:val="en-GB"/>
        </w:rPr>
        <w:t>、监狱企业证明材料</w:t>
      </w:r>
      <w:r>
        <w:rPr>
          <w:rFonts w:hint="eastAsia" w:ascii="宋体" w:hAnsi="宋体"/>
          <w:kern w:val="0"/>
          <w:szCs w:val="21"/>
        </w:rPr>
        <w:t>（如有）</w:t>
      </w:r>
      <w:bookmarkEnd w:id="864"/>
    </w:p>
    <w:p w14:paraId="2DB39865">
      <w:pPr>
        <w:spacing w:line="360" w:lineRule="auto"/>
        <w:ind w:firstLine="420" w:firstLineChars="200"/>
        <w:rPr>
          <w:rFonts w:hint="eastAsia"/>
          <w:lang w:val="en-GB"/>
        </w:rPr>
      </w:pPr>
      <w:r>
        <w:rPr>
          <w:rFonts w:hint="eastAsia"/>
          <w:lang w:val="en-GB"/>
        </w:rPr>
        <w:t>监狱企业参加政府采购活动时，应当提供由省级以上监狱管理局、戒毒管理局（含新疆生产建设兵团）出具的属于监狱企业的证明文件。</w:t>
      </w:r>
    </w:p>
    <w:p w14:paraId="5DEA2911">
      <w:pPr>
        <w:spacing w:line="360" w:lineRule="auto"/>
        <w:rPr>
          <w:rFonts w:hint="eastAsia"/>
          <w:lang w:val="en-GB"/>
        </w:rPr>
      </w:pPr>
    </w:p>
    <w:p w14:paraId="7B364ADD">
      <w:pPr>
        <w:spacing w:line="360" w:lineRule="auto"/>
        <w:rPr>
          <w:rFonts w:hint="eastAsia"/>
          <w:lang w:val="en-GB"/>
        </w:rPr>
      </w:pPr>
    </w:p>
    <w:p w14:paraId="6CE2EA62">
      <w:pPr>
        <w:widowControl/>
        <w:spacing w:line="360" w:lineRule="auto"/>
        <w:outlineLvl w:val="0"/>
        <w:rPr>
          <w:rFonts w:hint="eastAsia"/>
          <w:b/>
          <w:szCs w:val="21"/>
        </w:rPr>
      </w:pPr>
      <w:bookmarkStart w:id="865" w:name="_Toc11252"/>
      <w:bookmarkStart w:id="866" w:name="_Toc26728"/>
      <w:r>
        <w:rPr>
          <w:rFonts w:hint="eastAsia"/>
          <w:b/>
          <w:szCs w:val="21"/>
        </w:rPr>
        <w:t>（提醒：如果投标人</w:t>
      </w:r>
      <w:r>
        <w:rPr>
          <w:rFonts w:hint="eastAsia"/>
          <w:b/>
          <w:spacing w:val="10"/>
          <w:kern w:val="0"/>
          <w:szCs w:val="21"/>
        </w:rPr>
        <w:t>不是</w:t>
      </w:r>
      <w:r>
        <w:rPr>
          <w:rFonts w:hint="eastAsia"/>
          <w:b/>
          <w:bCs/>
          <w:szCs w:val="21"/>
          <w:lang w:val="en-GB"/>
        </w:rPr>
        <w:t>监狱企业</w:t>
      </w:r>
      <w:r>
        <w:rPr>
          <w:rFonts w:hint="eastAsia"/>
          <w:b/>
          <w:szCs w:val="21"/>
        </w:rPr>
        <w:t>，则不需要提供</w:t>
      </w:r>
      <w:r>
        <w:rPr>
          <w:rFonts w:hint="eastAsia"/>
          <w:b/>
          <w:szCs w:val="21"/>
          <w:lang w:val="en-GB"/>
        </w:rPr>
        <w:t>监狱企业证明材料</w:t>
      </w:r>
      <w:r>
        <w:rPr>
          <w:rFonts w:hint="eastAsia"/>
          <w:b/>
          <w:szCs w:val="21"/>
        </w:rPr>
        <w:t>）</w:t>
      </w:r>
      <w:bookmarkEnd w:id="865"/>
      <w:bookmarkEnd w:id="866"/>
    </w:p>
    <w:p w14:paraId="5846933B">
      <w:pPr>
        <w:spacing w:line="360" w:lineRule="auto"/>
        <w:rPr>
          <w:rFonts w:hint="eastAsia"/>
        </w:rPr>
      </w:pPr>
    </w:p>
    <w:p w14:paraId="268B3259">
      <w:pPr>
        <w:pStyle w:val="21"/>
        <w:numPr>
          <w:ilvl w:val="255"/>
          <w:numId w:val="0"/>
        </w:numPr>
        <w:spacing w:line="360" w:lineRule="auto"/>
        <w:rPr>
          <w:rFonts w:hint="eastAsia" w:eastAsia="宋体"/>
          <w:sz w:val="21"/>
          <w:szCs w:val="24"/>
          <w:lang w:val="en-GB"/>
        </w:rPr>
      </w:pPr>
      <w:r>
        <w:rPr>
          <w:rFonts w:hint="eastAsia" w:eastAsia="宋体"/>
          <w:sz w:val="21"/>
          <w:szCs w:val="24"/>
          <w:lang w:val="en-GB"/>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175A19">
      <w:pPr>
        <w:rPr>
          <w:rFonts w:hint="eastAsia"/>
          <w:b/>
          <w:szCs w:val="21"/>
        </w:rPr>
      </w:pPr>
    </w:p>
    <w:bookmarkEnd w:id="772"/>
    <w:bookmarkEnd w:id="773"/>
    <w:p w14:paraId="2BE83BC9">
      <w:pPr>
        <w:spacing w:line="440" w:lineRule="exact"/>
        <w:ind w:firstLine="420" w:firstLineChars="200"/>
        <w:rPr>
          <w:rFonts w:hint="eastAsia"/>
          <w:b/>
          <w:szCs w:val="21"/>
        </w:rPr>
      </w:pPr>
    </w:p>
    <w:p w14:paraId="074A6B89">
      <w:pPr>
        <w:rPr>
          <w:rFonts w:hint="eastAsia"/>
        </w:rPr>
      </w:pPr>
    </w:p>
    <w:p w14:paraId="4D0C0E42">
      <w:pPr>
        <w:rPr>
          <w:rFonts w:hint="eastAsia"/>
        </w:rPr>
      </w:pPr>
    </w:p>
    <w:p w14:paraId="0F101450"/>
    <w:sectPr>
      <w:headerReference r:id="rId18" w:type="default"/>
      <w:footerReference r:id="rId19" w:type="default"/>
      <w:pgSz w:w="11906" w:h="16838"/>
      <w:pgMar w:top="1440" w:right="1797" w:bottom="124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E357">
    <w:pPr>
      <w:pStyle w:val="17"/>
      <w:pBdr>
        <w:top w:val="single" w:color="auto" w:sz="4" w:space="0"/>
      </w:pBdr>
      <w:rPr>
        <w:rFonts w:hint="eastAsia"/>
      </w:rPr>
    </w:pPr>
    <w:r>
      <w:rPr>
        <w:rStyle w:val="26"/>
        <w:rFonts w:hint="eastAsia"/>
      </w:rPr>
      <w:t xml:space="preserve">   </w:t>
    </w: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D42A">
    <w:pPr>
      <w:pStyle w:val="17"/>
      <w:pBdr>
        <w:top w:val="single" w:color="auto"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69AEDE">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F69AEDE">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Style w:val="26"/>
        <w:rFonts w:hint="eastAsia"/>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B7B3">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0EB4">
    <w:pPr>
      <w:pStyle w:val="1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DB5A">
    <w:pPr>
      <w:pStyle w:val="17"/>
      <w:rPr>
        <w:rFonts w:hint="eastAsia"/>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0C82D">
                          <w:pPr>
                            <w:pStyle w:val="1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B0C82D">
                    <w:pPr>
                      <w:pStyle w:val="1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9B34">
    <w:pPr>
      <w:pStyle w:val="17"/>
      <w:rPr>
        <w:rFonts w:hint="eastAs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159C3">
                          <w:pPr>
                            <w:pStyle w:val="1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B159C3">
                    <w:pPr>
                      <w:pStyle w:val="1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9A9E">
    <w:pPr>
      <w:pStyle w:val="17"/>
      <w:pBdr>
        <w:top w:val="single" w:color="auto" w:sz="4"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1614AF">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71614AF">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Style w:val="26"/>
        <w:rFonts w:hint="eastAsia"/>
      </w:rPr>
      <w:t xml:space="preserve"> </w: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B94F">
    <w:pPr>
      <w:pStyle w:val="36"/>
      <w:framePr w:wrap="around" w:vAnchor="text" w:hAnchor="margin" w:xAlign="right" w:y="1"/>
    </w:pPr>
    <w:r>
      <w:fldChar w:fldCharType="begin"/>
    </w:r>
    <w:r>
      <w:instrText xml:space="preserve">PAGE  </w:instrText>
    </w:r>
    <w:r>
      <w:fldChar w:fldCharType="end"/>
    </w:r>
  </w:p>
  <w:p w14:paraId="00EB04B6">
    <w:pPr>
      <w:pStyle w:val="3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5048">
    <w:pPr>
      <w:pStyle w:val="17"/>
      <w:jc w:val="center"/>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A5B8">
    <w:pPr>
      <w:pStyle w:val="17"/>
      <w:pBdr>
        <w:top w:val="single" w:color="auto" w:sz="4" w:space="0"/>
      </w:pBdr>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03862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3F038621">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Style w:val="26"/>
        <w:rFonts w:hint="eastAsia"/>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D9D3">
    <w:pPr>
      <w:pBdr>
        <w:bottom w:val="single" w:color="auto" w:sz="4" w:space="1"/>
      </w:pBdr>
      <w:jc w:val="right"/>
      <w:rPr>
        <w:rFonts w:hint="eastAsia"/>
      </w:rPr>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055E">
    <w:pPr>
      <w:pStyle w:val="1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BB2C">
    <w:pPr>
      <w:pStyle w:val="18"/>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F837">
    <w:pPr>
      <w:pBdr>
        <w:bottom w:val="none" w:color="auto" w:sz="0" w:space="1"/>
      </w:pBdr>
      <w:jc w:val="right"/>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DB30">
    <w:pPr>
      <w:pBdr>
        <w:bottom w:val="none" w:color="auto" w:sz="0" w:space="1"/>
      </w:pBdr>
      <w:jc w:val="right"/>
      <w:rPr>
        <w:rFonts w:hint="eastAsia"/>
        <w:bCs/>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04E9">
    <w:pPr>
      <w:pStyle w:val="18"/>
      <w:pBdr>
        <w:bottom w:val="none" w:color="auto" w:sz="0" w:space="1"/>
      </w:pBdr>
      <w:jc w:val="right"/>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36B4">
    <w:pPr>
      <w:pStyle w:val="18"/>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ascii="宋体" w:hAnsi="宋体" w:eastAsia="宋体" w:cs="宋体"/>
        <w:sz w:val="21"/>
        <w:szCs w:val="21"/>
      </w:rPr>
    </w:lvl>
  </w:abstractNum>
  <w:abstractNum w:abstractNumId="1">
    <w:nsid w:val="8B1DB97E"/>
    <w:multiLevelType w:val="singleLevel"/>
    <w:tmpl w:val="8B1DB97E"/>
    <w:lvl w:ilvl="0" w:tentative="0">
      <w:start w:val="1"/>
      <w:numFmt w:val="lowerLetter"/>
      <w:suff w:val="space"/>
      <w:lvlText w:val="%1."/>
      <w:lvlJc w:val="left"/>
    </w:lvl>
  </w:abstractNum>
  <w:abstractNum w:abstractNumId="2">
    <w:nsid w:val="8E242CD3"/>
    <w:multiLevelType w:val="singleLevel"/>
    <w:tmpl w:val="8E242CD3"/>
    <w:lvl w:ilvl="0" w:tentative="0">
      <w:start w:val="1"/>
      <w:numFmt w:val="chineseCountingThousand"/>
      <w:suff w:val="space"/>
      <w:lvlText w:val="%1、"/>
      <w:lvlJc w:val="left"/>
      <w:pPr>
        <w:ind w:left="420" w:hanging="420"/>
      </w:pPr>
      <w:rPr>
        <w:rFonts w:hint="eastAsia" w:ascii="宋体" w:hAnsi="宋体" w:eastAsia="宋体" w:cs="宋体"/>
        <w:color w:val="auto"/>
        <w:sz w:val="21"/>
        <w:szCs w:val="21"/>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val="0"/>
        <w:bCs w:val="0"/>
      </w:rPr>
    </w:lvl>
    <w:lvl w:ilvl="2" w:tentative="0">
      <w:start w:val="1"/>
      <w:numFmt w:val="decimal"/>
      <w:suff w:val="space"/>
      <w:lvlText w:val="%1.%2.%3"/>
      <w:lvlJc w:val="left"/>
      <w:pPr>
        <w:ind w:left="426" w:firstLine="0"/>
      </w:pPr>
      <w:rPr>
        <w:rFonts w:hint="default" w:ascii="宋体" w:hAnsi="宋体" w:eastAsia="宋体" w:cs="宋体"/>
        <w:b w:val="0"/>
        <w:bCs w:val="0"/>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A67714E4"/>
    <w:multiLevelType w:val="singleLevel"/>
    <w:tmpl w:val="A67714E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8">
    <w:nsid w:val="A6AEA3E7"/>
    <w:multiLevelType w:val="multilevel"/>
    <w:tmpl w:val="A6AEA3E7"/>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9">
    <w:nsid w:val="C7E48960"/>
    <w:multiLevelType w:val="multilevel"/>
    <w:tmpl w:val="C7E48960"/>
    <w:lvl w:ilvl="0" w:tentative="0">
      <w:start w:val="1"/>
      <w:numFmt w:val="decimal"/>
      <w:suff w:val="space"/>
      <w:lvlText w:val="%1."/>
      <w:lvlJc w:val="left"/>
      <w:pPr>
        <w:ind w:left="210" w:hanging="420"/>
      </w:pPr>
      <w:rPr>
        <w:rFonts w:hint="default" w:ascii="宋体" w:hAnsi="宋体" w:eastAsia="宋体" w:cs="宋体"/>
        <w:sz w:val="21"/>
        <w:szCs w:val="21"/>
      </w:rPr>
    </w:lvl>
    <w:lvl w:ilvl="1" w:tentative="0">
      <w:start w:val="1"/>
      <w:numFmt w:val="lowerLetter"/>
      <w:lvlText w:val="%2)"/>
      <w:lvlJc w:val="left"/>
      <w:pPr>
        <w:tabs>
          <w:tab w:val="left" w:pos="840"/>
        </w:tabs>
        <w:ind w:left="630" w:hanging="420"/>
      </w:pPr>
    </w:lvl>
    <w:lvl w:ilvl="2" w:tentative="0">
      <w:start w:val="1"/>
      <w:numFmt w:val="lowerRoman"/>
      <w:lvlText w:val="%3."/>
      <w:lvlJc w:val="right"/>
      <w:pPr>
        <w:tabs>
          <w:tab w:val="left" w:pos="1260"/>
        </w:tabs>
        <w:ind w:left="1050" w:hanging="420"/>
      </w:pPr>
    </w:lvl>
    <w:lvl w:ilvl="3" w:tentative="0">
      <w:start w:val="1"/>
      <w:numFmt w:val="decimal"/>
      <w:lvlText w:val="%4."/>
      <w:lvlJc w:val="left"/>
      <w:pPr>
        <w:tabs>
          <w:tab w:val="left" w:pos="1680"/>
        </w:tabs>
        <w:ind w:left="1470" w:hanging="420"/>
      </w:pPr>
    </w:lvl>
    <w:lvl w:ilvl="4" w:tentative="0">
      <w:start w:val="1"/>
      <w:numFmt w:val="lowerLetter"/>
      <w:lvlText w:val="%5)"/>
      <w:lvlJc w:val="left"/>
      <w:pPr>
        <w:tabs>
          <w:tab w:val="left" w:pos="2100"/>
        </w:tabs>
        <w:ind w:left="1890" w:hanging="420"/>
      </w:pPr>
    </w:lvl>
    <w:lvl w:ilvl="5" w:tentative="0">
      <w:start w:val="1"/>
      <w:numFmt w:val="lowerRoman"/>
      <w:lvlText w:val="%6."/>
      <w:lvlJc w:val="right"/>
      <w:pPr>
        <w:tabs>
          <w:tab w:val="left" w:pos="2520"/>
        </w:tabs>
        <w:ind w:left="2310" w:hanging="420"/>
      </w:pPr>
    </w:lvl>
    <w:lvl w:ilvl="6" w:tentative="0">
      <w:start w:val="1"/>
      <w:numFmt w:val="decimal"/>
      <w:lvlText w:val="%7."/>
      <w:lvlJc w:val="left"/>
      <w:pPr>
        <w:tabs>
          <w:tab w:val="left" w:pos="2940"/>
        </w:tabs>
        <w:ind w:left="2730" w:hanging="420"/>
      </w:pPr>
    </w:lvl>
    <w:lvl w:ilvl="7" w:tentative="0">
      <w:start w:val="1"/>
      <w:numFmt w:val="lowerLetter"/>
      <w:lvlText w:val="%8)"/>
      <w:lvlJc w:val="left"/>
      <w:pPr>
        <w:tabs>
          <w:tab w:val="left" w:pos="3360"/>
        </w:tabs>
        <w:ind w:left="3150" w:hanging="420"/>
      </w:pPr>
    </w:lvl>
    <w:lvl w:ilvl="8" w:tentative="0">
      <w:start w:val="1"/>
      <w:numFmt w:val="lowerRoman"/>
      <w:lvlText w:val="%9."/>
      <w:lvlJc w:val="right"/>
      <w:pPr>
        <w:tabs>
          <w:tab w:val="left" w:pos="3780"/>
        </w:tabs>
        <w:ind w:left="3570" w:hanging="420"/>
      </w:pPr>
    </w:lvl>
  </w:abstractNum>
  <w:abstractNum w:abstractNumId="10">
    <w:nsid w:val="CB9A4024"/>
    <w:multiLevelType w:val="singleLevel"/>
    <w:tmpl w:val="CB9A402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1">
    <w:nsid w:val="CD806B66"/>
    <w:multiLevelType w:val="singleLevel"/>
    <w:tmpl w:val="CD806B66"/>
    <w:lvl w:ilvl="0" w:tentative="0">
      <w:start w:val="1"/>
      <w:numFmt w:val="decimal"/>
      <w:lvlText w:val="(%1)"/>
      <w:lvlJc w:val="left"/>
      <w:pPr>
        <w:ind w:left="425" w:hanging="425"/>
      </w:pPr>
      <w:rPr>
        <w:rFonts w:hint="default"/>
      </w:rPr>
    </w:lvl>
  </w:abstractNum>
  <w:abstractNum w:abstractNumId="12">
    <w:nsid w:val="D7F52C59"/>
    <w:multiLevelType w:val="singleLevel"/>
    <w:tmpl w:val="D7F52C59"/>
    <w:lvl w:ilvl="0" w:tentative="0">
      <w:start w:val="1"/>
      <w:numFmt w:val="decimal"/>
      <w:lvlText w:val="(%1)"/>
      <w:lvlJc w:val="left"/>
      <w:pPr>
        <w:ind w:left="425" w:hanging="425"/>
      </w:pPr>
      <w:rPr>
        <w:rFonts w:hint="default" w:ascii="宋体" w:hAnsi="宋体" w:eastAsia="宋体" w:cs="宋体"/>
        <w:sz w:val="21"/>
        <w:szCs w:val="21"/>
      </w:rPr>
    </w:lvl>
  </w:abstractNum>
  <w:abstractNum w:abstractNumId="13">
    <w:nsid w:val="DADAE4E1"/>
    <w:multiLevelType w:val="singleLevel"/>
    <w:tmpl w:val="DADAE4E1"/>
    <w:lvl w:ilvl="0" w:tentative="0">
      <w:start w:val="2"/>
      <w:numFmt w:val="chineseCounting"/>
      <w:suff w:val="nothing"/>
      <w:lvlText w:val="%1、"/>
      <w:lvlJc w:val="left"/>
      <w:rPr>
        <w:rFonts w:hint="eastAsia"/>
      </w:rPr>
    </w:lvl>
  </w:abstractNum>
  <w:abstractNum w:abstractNumId="14">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1068C811"/>
    <w:multiLevelType w:val="singleLevel"/>
    <w:tmpl w:val="1068C811"/>
    <w:lvl w:ilvl="0" w:tentative="0">
      <w:start w:val="1"/>
      <w:numFmt w:val="decimal"/>
      <w:suff w:val="space"/>
      <w:lvlText w:val="%1."/>
      <w:lvlJc w:val="left"/>
    </w:lvl>
  </w:abstractNum>
  <w:abstractNum w:abstractNumId="16">
    <w:nsid w:val="137695F5"/>
    <w:multiLevelType w:val="singleLevel"/>
    <w:tmpl w:val="137695F5"/>
    <w:lvl w:ilvl="0" w:tentative="0">
      <w:start w:val="10"/>
      <w:numFmt w:val="chineseCounting"/>
      <w:suff w:val="nothing"/>
      <w:lvlText w:val="%1、"/>
      <w:lvlJc w:val="left"/>
      <w:rPr>
        <w:rFonts w:hint="eastAsia"/>
      </w:rPr>
    </w:lvl>
  </w:abstractNum>
  <w:abstractNum w:abstractNumId="17">
    <w:nsid w:val="19D0706F"/>
    <w:multiLevelType w:val="singleLevel"/>
    <w:tmpl w:val="19D0706F"/>
    <w:lvl w:ilvl="0" w:tentative="0">
      <w:start w:val="1"/>
      <w:numFmt w:val="decimal"/>
      <w:suff w:val="space"/>
      <w:lvlText w:val="%1."/>
      <w:lvlJc w:val="left"/>
      <w:rPr>
        <w:rFonts w:hint="default"/>
        <w:b w:val="0"/>
        <w:bCs w:val="0"/>
        <w:color w:val="auto"/>
      </w:rPr>
    </w:lvl>
  </w:abstractNum>
  <w:abstractNum w:abstractNumId="18">
    <w:nsid w:val="2B15AD7D"/>
    <w:multiLevelType w:val="singleLevel"/>
    <w:tmpl w:val="2B15AD7D"/>
    <w:lvl w:ilvl="0" w:tentative="0">
      <w:start w:val="1"/>
      <w:numFmt w:val="decimal"/>
      <w:lvlText w:val="(%1)"/>
      <w:lvlJc w:val="left"/>
      <w:pPr>
        <w:tabs>
          <w:tab w:val="left" w:pos="312"/>
        </w:tabs>
      </w:pPr>
    </w:lvl>
  </w:abstractNum>
  <w:abstractNum w:abstractNumId="19">
    <w:nsid w:val="2D6A2507"/>
    <w:multiLevelType w:val="singleLevel"/>
    <w:tmpl w:val="2D6A2507"/>
    <w:lvl w:ilvl="0" w:tentative="0">
      <w:start w:val="1"/>
      <w:numFmt w:val="decimal"/>
      <w:lvlText w:val="(%1)"/>
      <w:lvlJc w:val="left"/>
      <w:pPr>
        <w:ind w:left="425" w:hanging="425"/>
      </w:pPr>
      <w:rPr>
        <w:rFonts w:hint="default"/>
      </w:rPr>
    </w:lvl>
  </w:abstractNum>
  <w:abstractNum w:abstractNumId="20">
    <w:nsid w:val="301B1AF1"/>
    <w:multiLevelType w:val="singleLevel"/>
    <w:tmpl w:val="301B1AF1"/>
    <w:lvl w:ilvl="0" w:tentative="0">
      <w:start w:val="1"/>
      <w:numFmt w:val="decimal"/>
      <w:lvlText w:val="(%1)"/>
      <w:lvlJc w:val="left"/>
      <w:pPr>
        <w:ind w:left="425" w:hanging="425"/>
      </w:pPr>
      <w:rPr>
        <w:rFonts w:hint="default" w:ascii="宋体" w:hAnsi="宋体" w:eastAsia="宋体" w:cs="宋体"/>
        <w:sz w:val="21"/>
        <w:szCs w:val="21"/>
      </w:rPr>
    </w:lvl>
  </w:abstractNum>
  <w:abstractNum w:abstractNumId="21">
    <w:nsid w:val="53E1A08B"/>
    <w:multiLevelType w:val="singleLevel"/>
    <w:tmpl w:val="53E1A08B"/>
    <w:lvl w:ilvl="0" w:tentative="0">
      <w:start w:val="2"/>
      <w:numFmt w:val="chineseCounting"/>
      <w:suff w:val="space"/>
      <w:lvlText w:val="第%1章"/>
      <w:lvlJc w:val="left"/>
      <w:rPr>
        <w:rFonts w:hint="eastAsia"/>
      </w:rPr>
    </w:lvl>
  </w:abstractNum>
  <w:abstractNum w:abstractNumId="22">
    <w:nsid w:val="59E95219"/>
    <w:multiLevelType w:val="singleLevel"/>
    <w:tmpl w:val="59E95219"/>
    <w:lvl w:ilvl="0" w:tentative="0">
      <w:start w:val="5"/>
      <w:numFmt w:val="chineseCounting"/>
      <w:suff w:val="space"/>
      <w:lvlText w:val="第%1章"/>
      <w:lvlJc w:val="left"/>
    </w:lvl>
  </w:abstractNum>
  <w:abstractNum w:abstractNumId="23">
    <w:nsid w:val="673B5ED1"/>
    <w:multiLevelType w:val="singleLevel"/>
    <w:tmpl w:val="673B5ED1"/>
    <w:lvl w:ilvl="0" w:tentative="0">
      <w:start w:val="1"/>
      <w:numFmt w:val="lowerLetter"/>
      <w:suff w:val="space"/>
      <w:lvlText w:val="%1."/>
      <w:lvlJc w:val="left"/>
    </w:lvl>
  </w:abstractNum>
  <w:abstractNum w:abstractNumId="24">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A3DEC23"/>
    <w:multiLevelType w:val="singleLevel"/>
    <w:tmpl w:val="6A3DEC23"/>
    <w:lvl w:ilvl="0" w:tentative="0">
      <w:start w:val="1"/>
      <w:numFmt w:val="decimal"/>
      <w:lvlText w:val="(%1)"/>
      <w:lvlJc w:val="left"/>
      <w:pPr>
        <w:ind w:left="425" w:hanging="425"/>
      </w:pPr>
      <w:rPr>
        <w:rFonts w:hint="default" w:ascii="宋体" w:hAnsi="宋体" w:eastAsia="宋体" w:cs="宋体"/>
        <w:sz w:val="21"/>
        <w:szCs w:val="21"/>
      </w:rPr>
    </w:lvl>
  </w:abstractNum>
  <w:abstractNum w:abstractNumId="26">
    <w:nsid w:val="6BDA4796"/>
    <w:multiLevelType w:val="singleLevel"/>
    <w:tmpl w:val="6BDA4796"/>
    <w:lvl w:ilvl="0" w:tentative="0">
      <w:start w:val="1"/>
      <w:numFmt w:val="decimal"/>
      <w:lvlText w:val="(%1)"/>
      <w:lvlJc w:val="left"/>
      <w:pPr>
        <w:ind w:left="425" w:hanging="425"/>
      </w:pPr>
      <w:rPr>
        <w:rFonts w:hint="default" w:ascii="宋体" w:hAnsi="宋体" w:eastAsia="宋体" w:cs="宋体"/>
        <w:sz w:val="21"/>
        <w:szCs w:val="21"/>
      </w:rPr>
    </w:lvl>
  </w:abstractNum>
  <w:abstractNum w:abstractNumId="27">
    <w:nsid w:val="758F1BA7"/>
    <w:multiLevelType w:val="singleLevel"/>
    <w:tmpl w:val="758F1BA7"/>
    <w:lvl w:ilvl="0" w:tentative="0">
      <w:start w:val="1"/>
      <w:numFmt w:val="decimal"/>
      <w:suff w:val="nothing"/>
      <w:lvlText w:val="（%1）"/>
      <w:lvlJc w:val="left"/>
    </w:lvl>
  </w:abstractNum>
  <w:abstractNum w:abstractNumId="28">
    <w:nsid w:val="75BB5789"/>
    <w:multiLevelType w:val="singleLevel"/>
    <w:tmpl w:val="75BB5789"/>
    <w:lvl w:ilvl="0" w:tentative="0">
      <w:start w:val="1"/>
      <w:numFmt w:val="decimal"/>
      <w:lvlText w:val="(%1)"/>
      <w:lvlJc w:val="left"/>
      <w:pPr>
        <w:ind w:left="425" w:hanging="425"/>
      </w:pPr>
      <w:rPr>
        <w:rFonts w:hint="default" w:ascii="宋体" w:hAnsi="宋体" w:eastAsia="宋体" w:cs="宋体"/>
        <w:sz w:val="21"/>
        <w:szCs w:val="21"/>
      </w:rPr>
    </w:lvl>
  </w:abstractNum>
  <w:abstractNum w:abstractNumId="29">
    <w:nsid w:val="77A3072A"/>
    <w:multiLevelType w:val="singleLevel"/>
    <w:tmpl w:val="77A3072A"/>
    <w:lvl w:ilvl="0" w:tentative="0">
      <w:start w:val="1"/>
      <w:numFmt w:val="decimal"/>
      <w:lvlText w:val="(%1)"/>
      <w:lvlJc w:val="left"/>
      <w:pPr>
        <w:ind w:left="425" w:hanging="425"/>
      </w:pPr>
      <w:rPr>
        <w:rFonts w:hint="default"/>
      </w:rPr>
    </w:lvl>
  </w:abstractNum>
  <w:abstractNum w:abstractNumId="30">
    <w:nsid w:val="7D82545E"/>
    <w:multiLevelType w:val="singleLevel"/>
    <w:tmpl w:val="7D82545E"/>
    <w:lvl w:ilvl="0" w:tentative="0">
      <w:start w:val="1"/>
      <w:numFmt w:val="decimal"/>
      <w:lvlText w:val="(%1)"/>
      <w:lvlJc w:val="left"/>
      <w:pPr>
        <w:ind w:left="425" w:hanging="425"/>
      </w:pPr>
      <w:rPr>
        <w:rFonts w:hint="default" w:ascii="宋体" w:hAnsi="宋体" w:eastAsia="宋体" w:cs="宋体"/>
        <w:sz w:val="21"/>
        <w:szCs w:val="21"/>
      </w:rPr>
    </w:lvl>
  </w:abstractNum>
  <w:num w:numId="1">
    <w:abstractNumId w:val="21"/>
  </w:num>
  <w:num w:numId="2">
    <w:abstractNumId w:val="17"/>
  </w:num>
  <w:num w:numId="3">
    <w:abstractNumId w:val="6"/>
  </w:num>
  <w:num w:numId="4">
    <w:abstractNumId w:val="5"/>
  </w:num>
  <w:num w:numId="5">
    <w:abstractNumId w:val="7"/>
  </w:num>
  <w:num w:numId="6">
    <w:abstractNumId w:val="25"/>
  </w:num>
  <w:num w:numId="7">
    <w:abstractNumId w:val="28"/>
  </w:num>
  <w:num w:numId="8">
    <w:abstractNumId w:val="10"/>
  </w:num>
  <w:num w:numId="9">
    <w:abstractNumId w:val="8"/>
  </w:num>
  <w:num w:numId="10">
    <w:abstractNumId w:val="26"/>
  </w:num>
  <w:num w:numId="11">
    <w:abstractNumId w:val="20"/>
  </w:num>
  <w:num w:numId="12">
    <w:abstractNumId w:val="0"/>
  </w:num>
  <w:num w:numId="13">
    <w:abstractNumId w:val="12"/>
  </w:num>
  <w:num w:numId="14">
    <w:abstractNumId w:val="30"/>
  </w:num>
  <w:num w:numId="15">
    <w:abstractNumId w:val="15"/>
  </w:num>
  <w:num w:numId="16">
    <w:abstractNumId w:val="4"/>
  </w:num>
  <w:num w:numId="17">
    <w:abstractNumId w:val="19"/>
  </w:num>
  <w:num w:numId="18">
    <w:abstractNumId w:val="11"/>
  </w:num>
  <w:num w:numId="19">
    <w:abstractNumId w:val="29"/>
  </w:num>
  <w:num w:numId="20">
    <w:abstractNumId w:val="3"/>
  </w:num>
  <w:num w:numId="21">
    <w:abstractNumId w:val="22"/>
  </w:num>
  <w:num w:numId="22">
    <w:abstractNumId w:val="23"/>
  </w:num>
  <w:num w:numId="23">
    <w:abstractNumId w:val="1"/>
  </w:num>
  <w:num w:numId="24">
    <w:abstractNumId w:val="27"/>
  </w:num>
  <w:num w:numId="25">
    <w:abstractNumId w:val="24"/>
  </w:num>
  <w:num w:numId="26">
    <w:abstractNumId w:val="13"/>
  </w:num>
  <w:num w:numId="27">
    <w:abstractNumId w:val="2"/>
  </w:num>
  <w:num w:numId="28">
    <w:abstractNumId w:val="9"/>
  </w:num>
  <w:num w:numId="29">
    <w:abstractNumId w:val="18"/>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32457"/>
    <w:rsid w:val="10D32457"/>
    <w:rsid w:val="230F5302"/>
    <w:rsid w:val="321E1948"/>
    <w:rsid w:val="4A5E7F49"/>
    <w:rsid w:val="4E8F31A6"/>
    <w:rsid w:val="639F3778"/>
    <w:rsid w:val="641C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rFonts w:ascii="Times New Roman" w:hAnsi="Times New Roman"/>
      <w:b/>
      <w:kern w:val="44"/>
      <w:sz w:val="32"/>
      <w:szCs w:val="20"/>
    </w:rPr>
  </w:style>
  <w:style w:type="paragraph" w:styleId="3">
    <w:name w:val="heading 2"/>
    <w:basedOn w:val="1"/>
    <w:next w:val="1"/>
    <w:qFormat/>
    <w:uiPriority w:val="99"/>
    <w:pPr>
      <w:keepNext/>
      <w:keepLines/>
      <w:spacing w:line="360" w:lineRule="auto"/>
      <w:jc w:val="left"/>
      <w:outlineLvl w:val="1"/>
    </w:pPr>
    <w:rPr>
      <w:rFonts w:ascii="Arial" w:hAnsi="Arial"/>
      <w:b/>
      <w:sz w:val="24"/>
      <w:szCs w:val="20"/>
    </w:rPr>
  </w:style>
  <w:style w:type="paragraph" w:styleId="4">
    <w:name w:val="heading 3"/>
    <w:basedOn w:val="1"/>
    <w:next w:val="1"/>
    <w:qFormat/>
    <w:uiPriority w:val="99"/>
    <w:pPr>
      <w:keepNext/>
      <w:keepLines/>
      <w:spacing w:line="360" w:lineRule="auto"/>
      <w:jc w:val="left"/>
      <w:outlineLvl w:val="2"/>
    </w:pPr>
    <w:rPr>
      <w:b/>
      <w:szCs w:val="21"/>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2" w:lineRule="auto"/>
      <w:outlineLvl w:val="4"/>
    </w:pPr>
    <w:rPr>
      <w:b/>
      <w:sz w:val="28"/>
    </w:rPr>
  </w:style>
  <w:style w:type="character" w:default="1" w:styleId="24">
    <w:name w:val="Default Paragraph Font"/>
    <w:semiHidden/>
    <w:uiPriority w:val="0"/>
  </w:style>
  <w:style w:type="table" w:default="1" w:styleId="23">
    <w:name w:val="Normal Table"/>
    <w:semiHidden/>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semiHidden/>
    <w:qFormat/>
    <w:uiPriority w:val="99"/>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style>
  <w:style w:type="paragraph" w:styleId="14">
    <w:name w:val="List Continue"/>
    <w:basedOn w:val="1"/>
    <w:qFormat/>
    <w:uiPriority w:val="0"/>
    <w:pPr>
      <w:spacing w:after="120"/>
      <w:ind w:left="420"/>
    </w:pPr>
    <w:rPr>
      <w:rFonts w:eastAsia="楷体_GB2312"/>
      <w:sz w:val="32"/>
      <w:szCs w:val="20"/>
    </w:rPr>
  </w:style>
  <w:style w:type="paragraph" w:styleId="15">
    <w:name w:val="Plain Text"/>
    <w:basedOn w:val="1"/>
    <w:qFormat/>
    <w:uiPriority w:val="0"/>
    <w:rPr>
      <w:rFonts w:hAnsi="Courier New" w:cs="Courier New"/>
      <w:szCs w:val="21"/>
    </w:rPr>
  </w:style>
  <w:style w:type="paragraph" w:styleId="16">
    <w:name w:val="Date"/>
    <w:basedOn w:val="1"/>
    <w:next w:val="1"/>
    <w:qFormat/>
    <w:uiPriority w:val="0"/>
    <w:pPr>
      <w:adjustRightInd w:val="0"/>
      <w:spacing w:line="360" w:lineRule="atLeast"/>
      <w:textAlignment w:val="baseline"/>
    </w:pPr>
    <w:rPr>
      <w:kern w:val="0"/>
      <w:sz w:val="28"/>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List 5"/>
    <w:basedOn w:val="1"/>
    <w:qFormat/>
    <w:uiPriority w:val="0"/>
    <w:pPr>
      <w:ind w:left="2100" w:hanging="420"/>
    </w:pPr>
    <w:rPr>
      <w:rFonts w:eastAsia="楷体_GB2312"/>
      <w:sz w:val="32"/>
      <w:szCs w:val="20"/>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Body Text First Indent"/>
    <w:basedOn w:val="10"/>
    <w:next w:val="22"/>
    <w:qFormat/>
    <w:uiPriority w:val="0"/>
    <w:pPr>
      <w:ind w:firstLine="420"/>
    </w:pPr>
    <w:rPr>
      <w:rFonts w:eastAsia="楷体_GB2312"/>
      <w:sz w:val="32"/>
      <w:szCs w:val="20"/>
    </w:rPr>
  </w:style>
  <w:style w:type="paragraph" w:styleId="22">
    <w:name w:val="Body Text First Indent 2"/>
    <w:basedOn w:val="11"/>
    <w:next w:val="1"/>
    <w:qFormat/>
    <w:uiPriority w:val="0"/>
    <w:pPr>
      <w:ind w:firstLine="420" w:firstLineChars="200"/>
    </w:pPr>
  </w:style>
  <w:style w:type="character" w:styleId="25">
    <w:name w:val="Strong"/>
    <w:basedOn w:val="24"/>
    <w:qFormat/>
    <w:uiPriority w:val="0"/>
    <w:rPr>
      <w:b/>
    </w:rPr>
  </w:style>
  <w:style w:type="character" w:styleId="26">
    <w:name w:val="page number"/>
    <w:qFormat/>
    <w:uiPriority w:val="0"/>
  </w:style>
  <w:style w:type="character" w:styleId="27">
    <w:name w:val="annotation reference"/>
    <w:basedOn w:val="24"/>
    <w:qFormat/>
    <w:uiPriority w:val="0"/>
    <w:rPr>
      <w:sz w:val="21"/>
      <w:szCs w:val="21"/>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0">
    <w:name w:val="标题 1 字符"/>
    <w:link w:val="2"/>
    <w:qFormat/>
    <w:locked/>
    <w:uiPriority w:val="0"/>
    <w:rPr>
      <w:rFonts w:ascii="Times New Roman" w:hAnsi="Times New Roman"/>
      <w:b/>
      <w:kern w:val="44"/>
      <w:sz w:val="32"/>
      <w:szCs w:val="20"/>
    </w:rPr>
  </w:style>
  <w:style w:type="paragraph" w:customStyle="1" w:styleId="31">
    <w:name w:val="Table Text"/>
    <w:basedOn w:val="1"/>
    <w:qFormat/>
    <w:uiPriority w:val="99"/>
    <w:pPr>
      <w:widowControl/>
      <w:tabs>
        <w:tab w:val="decimal" w:pos="0"/>
      </w:tabs>
      <w:autoSpaceDE w:val="0"/>
      <w:autoSpaceDN w:val="0"/>
      <w:adjustRightInd w:val="0"/>
      <w:spacing w:before="80" w:after="80"/>
    </w:pPr>
    <w:rPr>
      <w:rFonts w:ascii="Arial" w:hAnsi="Arial"/>
      <w:sz w:val="18"/>
    </w:rPr>
  </w:style>
  <w:style w:type="paragraph" w:customStyle="1" w:styleId="32">
    <w:name w:val="无间隔1"/>
    <w:basedOn w:val="33"/>
    <w:next w:val="8"/>
    <w:qFormat/>
    <w:uiPriority w:val="1"/>
    <w:pPr>
      <w:spacing w:line="400" w:lineRule="exact"/>
    </w:pPr>
    <w:rPr>
      <w:sz w:val="24"/>
    </w:rPr>
  </w:style>
  <w:style w:type="paragraph" w:customStyle="1" w:styleId="3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表内容"/>
    <w:qFormat/>
    <w:uiPriority w:val="0"/>
    <w:pPr>
      <w:snapToGrid w:val="0"/>
      <w:jc w:val="center"/>
    </w:pPr>
    <w:rPr>
      <w:rFonts w:ascii="Times New Roman" w:hAnsi="Times New Roman" w:eastAsia="宋体" w:cs="Times New Roman"/>
      <w:kern w:val="2"/>
      <w:sz w:val="21"/>
      <w:szCs w:val="22"/>
      <w:lang w:val="en-US" w:eastAsia="zh-CN" w:bidi="ar-SA"/>
    </w:rPr>
  </w:style>
  <w:style w:type="paragraph" w:customStyle="1" w:styleId="35">
    <w:name w:val="图文"/>
    <w:basedOn w:val="1"/>
    <w:qFormat/>
    <w:uiPriority w:val="0"/>
    <w:pPr>
      <w:adjustRightInd w:val="0"/>
      <w:snapToGrid w:val="0"/>
      <w:spacing w:after="50" w:line="360" w:lineRule="auto"/>
    </w:pPr>
    <w:rPr>
      <w:sz w:val="24"/>
    </w:rPr>
  </w:style>
  <w:style w:type="paragraph" w:customStyle="1" w:styleId="36">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8421</Words>
  <Characters>9183</Characters>
  <Lines>0</Lines>
  <Paragraphs>0</Paragraphs>
  <TotalTime>2</TotalTime>
  <ScaleCrop>false</ScaleCrop>
  <LinksUpToDate>false</LinksUpToDate>
  <CharactersWithSpaces>9275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2025-08-29T02:13:00Z</dcterms:created>
  <dc:creator>心经</dc:creator>
  <cp:lastModifiedBy>心经</cp:lastModifiedBy>
  <dcterms:modified xsi:type="dcterms:W3CDTF">2025-09-11T01:20:43Z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AF630CC6B53145FCB40A0AC98F3CA2D5_11</vt:lpwstr>
  </property>
  <property fmtid="{D5CDD505-2E9C-101B-9397-08002B2CF9AE}" pid="4" name="KSOTemplateDocerSaveRecord">
    <vt:lpwstr>eyJoZGlkIjoiODY5N2M5N2I5NGZmMGMzZTk0MjlmZjkyNGY3OGE0MDkiLCJ1c2VySWQiOiIxMjg5MTQwNTE2In0=</vt:lpwstr>
  </property>
</Properties>
</file>